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DD435">
      <w:pPr>
        <w:pageBreakBefore w:val="0"/>
        <w:widowControl/>
        <w:kinsoku/>
        <w:overflowPunct/>
        <w:topLinePunct w:val="0"/>
        <w:bidi w:val="0"/>
        <w:snapToGrid/>
        <w:spacing w:line="420" w:lineRule="exact"/>
        <w:ind w:firstLine="430"/>
        <w:jc w:val="center"/>
        <w:textAlignment w:val="auto"/>
        <w:rPr>
          <w:rFonts w:hint="default" w:ascii="宋体" w:hAnsi="宋体" w:eastAsia="宋体" w:cs="宋体"/>
          <w:b/>
          <w:bCs/>
          <w:color w:val="auto"/>
          <w:sz w:val="32"/>
          <w:szCs w:val="32"/>
          <w:highlight w:val="none"/>
          <w:lang w:val="en-US" w:eastAsia="zh-CN"/>
        </w:rPr>
      </w:pPr>
      <w:bookmarkStart w:id="0" w:name="bookmark47"/>
      <w:r>
        <w:rPr>
          <w:rFonts w:hint="eastAsia" w:ascii="宋体" w:hAnsi="宋体" w:cs="宋体"/>
          <w:b/>
          <w:bCs/>
          <w:color w:val="auto"/>
          <w:sz w:val="32"/>
          <w:szCs w:val="32"/>
          <w:highlight w:val="none"/>
          <w:lang w:val="en-US" w:eastAsia="zh-CN"/>
        </w:rPr>
        <w:t>采购需求</w:t>
      </w:r>
      <w:bookmarkStart w:id="13" w:name="_GoBack"/>
      <w:bookmarkEnd w:id="13"/>
    </w:p>
    <w:p w14:paraId="36C00C82">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66F59BF3">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43603ACE">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3F3A21AC">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5004C51B">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1957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353D0F0">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5A663A7F">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2E6F4053">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4FBE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1E6E131B">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34042BD2">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0A6F7F9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0E5F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6D6326D8">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43214690">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249581CF">
            <w:pPr>
              <w:pageBreakBefore w:val="0"/>
              <w:kinsoku/>
              <w:overflowPunct/>
              <w:topLinePunct w:val="0"/>
              <w:bidi w:val="0"/>
              <w:snapToGrid/>
              <w:spacing w:line="4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安庆市第二人民医院</w:t>
            </w:r>
          </w:p>
        </w:tc>
      </w:tr>
      <w:tr w14:paraId="59D0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069E1986">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3E46DDC9">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3B91EFE1">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3DF7B13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合同签订之日起三年或采购费用总额达到该本项目总中标价时，以先到者为准，在供货期内按照采购人的要求分批供货，据实结算。</w:t>
            </w:r>
          </w:p>
        </w:tc>
      </w:tr>
    </w:tbl>
    <w:p w14:paraId="131EC614">
      <w:pPr>
        <w:pStyle w:val="4"/>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10379"/>
      <w:bookmarkStart w:id="2" w:name="_Toc20068"/>
      <w:bookmarkStart w:id="3" w:name="_Toc22728"/>
      <w:bookmarkStart w:id="4" w:name="_Toc490682725"/>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6"/>
        <w:gridCol w:w="5545"/>
        <w:gridCol w:w="426"/>
        <w:gridCol w:w="636"/>
        <w:gridCol w:w="846"/>
      </w:tblGrid>
      <w:tr w14:paraId="3544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14C7E502">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90682726"/>
            <w:bookmarkStart w:id="6" w:name="_Toc4579"/>
            <w:r>
              <w:rPr>
                <w:rFonts w:hint="eastAsia" w:ascii="宋体" w:hAnsi="宋体" w:eastAsia="宋体" w:cs="宋体"/>
                <w:color w:val="auto"/>
                <w:kern w:val="0"/>
                <w:sz w:val="21"/>
                <w:szCs w:val="21"/>
                <w:highlight w:val="none"/>
              </w:rPr>
              <w:t>序号</w:t>
            </w:r>
          </w:p>
        </w:tc>
        <w:tc>
          <w:tcPr>
            <w:tcW w:w="254" w:type="pct"/>
            <w:tcBorders>
              <w:top w:val="single" w:color="auto" w:sz="4" w:space="0"/>
              <w:left w:val="single" w:color="auto" w:sz="4" w:space="0"/>
              <w:bottom w:val="single" w:color="auto" w:sz="4" w:space="0"/>
              <w:right w:val="single" w:color="auto" w:sz="4" w:space="0"/>
            </w:tcBorders>
            <w:noWrap w:val="0"/>
            <w:vAlign w:val="center"/>
          </w:tcPr>
          <w:p w14:paraId="20E8F9D5">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23D79177">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229" w:type="pct"/>
            <w:tcBorders>
              <w:top w:val="single" w:color="auto" w:sz="4" w:space="0"/>
              <w:left w:val="single" w:color="auto" w:sz="4" w:space="0"/>
              <w:bottom w:val="single" w:color="auto" w:sz="4" w:space="0"/>
              <w:right w:val="single" w:color="auto" w:sz="4" w:space="0"/>
            </w:tcBorders>
            <w:noWrap w:val="0"/>
            <w:vAlign w:val="center"/>
          </w:tcPr>
          <w:p w14:paraId="18AA2605">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40549462">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09F52F8E">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7AF3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48550E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38442F8E">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泡沫敷料</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C216A43">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无粘胶的聚氨酯泡沫敷料。分为常规片状、易用型和填充型</w:t>
            </w:r>
            <w:r>
              <w:rPr>
                <w:rFonts w:hint="eastAsia" w:ascii="宋体" w:hAnsi="宋体" w:eastAsia="宋体" w:cs="宋体"/>
                <w:color w:val="auto"/>
                <w:sz w:val="21"/>
                <w:szCs w:val="21"/>
                <w:highlight w:val="none"/>
                <w:lang w:val="en-US" w:eastAsia="zh-CN"/>
              </w:rPr>
              <w:t>。</w:t>
            </w:r>
          </w:p>
          <w:p w14:paraId="1C901AED">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由泡沫基本原材料和泡沫敷料表层 PU 膜组成。半透性顶膜可以阻水、在半潮湿条件下能阻止细菌通过。</w:t>
            </w:r>
          </w:p>
          <w:p w14:paraId="527FC369">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3、聚氨酯泡沫厚度符合 4.4±0.8mm，具备吸收渗液后泡沫向伤口床突起，形成顺应伤口床形状的“贴合状态”，垂直吸收和原位锁液。</w:t>
            </w:r>
          </w:p>
          <w:p w14:paraId="7CFD31A2">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4、吸收能力≥0.6 g/cm2，水蒸气透过率≥800 g/m2/24h</w:t>
            </w:r>
          </w:p>
          <w:p w14:paraId="00D612F2">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5、初始吸收能力≤ 30s</w:t>
            </w:r>
          </w:p>
          <w:p w14:paraId="6C255A3A">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6、重金属含量不大于 10ug/g</w:t>
            </w:r>
          </w:p>
          <w:p w14:paraId="6040D3C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7、细胞毒性应&lt;2 级、致敏性应&lt;1 级、无遗传毒性、亚慢毒性及皮肤刺激。</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39AE8D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2D095D8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EE5CD0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r>
      <w:tr w14:paraId="3049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E3EE35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60C5264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溃疡贴</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265D21F">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1、三层结构:聚氨酯半透顶膜，粘胶层/吸收层，非接触式保护膜。半透性顶膜可以阻水、在半潮湿条件下能阻止细菌通过。</w:t>
            </w:r>
          </w:p>
          <w:p w14:paraId="2C747904">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2、吸收层含有≥ 28.8%羧甲基纤维素钠(CMC)和≥ 7.2%藻酸盐。</w:t>
            </w:r>
          </w:p>
          <w:p w14:paraId="5425D81C">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3、剥离强度 10-30 N/25mm。</w:t>
            </w:r>
          </w:p>
          <w:p w14:paraId="0EF5E31E">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4、液体吸透量&gt;2g/10cm2/24h，水蒸气透过率&gt;15g/m2/24h。</w:t>
            </w:r>
          </w:p>
          <w:p w14:paraId="3BB11420">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5、舒适性中可伸展性≤14N/cm，永久变形≤5%。</w:t>
            </w:r>
          </w:p>
          <w:p w14:paraId="0CE9E8FF">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6、表面 1cm 方格设计，方便测量伤口大小。</w:t>
            </w:r>
          </w:p>
          <w:p w14:paraId="3F86598C">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7、重金属含量不大于 10ug/g</w:t>
            </w:r>
          </w:p>
          <w:p w14:paraId="412CD982">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8、不含果胶、明胶和其他动物基质。无细胞毒性、皮肤刺激和迟发型超敏反应。</w:t>
            </w:r>
          </w:p>
          <w:p w14:paraId="4FF328C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9、边缘坡型设计。</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594B73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49119C6E">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E75EF9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r>
      <w:tr w14:paraId="3D10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D525A6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6581EBD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透明贴</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6BD79F8">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三层结构:聚氨酯半透顶膜，粘胶层/吸收层，非接触式保护膜。半透性顶膜可以阻水、在半潮湿条件下能阻止细菌通过。</w:t>
            </w:r>
          </w:p>
          <w:p w14:paraId="7F5EA845">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吸收层羧甲基纤维素钠(CMC)含量</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 xml:space="preserve"> 26.6%。</w:t>
            </w:r>
          </w:p>
          <w:p w14:paraId="23922935">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剥离强度 7-20 N/25mm</w:t>
            </w:r>
          </w:p>
          <w:p w14:paraId="64F2FFAC">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液体吸透量&gt;2g /10cm2/24h，水蒸气透过率&gt;150g/m2/24h 。</w:t>
            </w:r>
          </w:p>
          <w:p w14:paraId="2D113536">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舒适性中可伸展性≤14N/cm，永久变形≤5%。</w:t>
            </w:r>
          </w:p>
          <w:p w14:paraId="37BDBEC3">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表面 1cm 方格设计方便测量伤口大小。</w:t>
            </w:r>
          </w:p>
          <w:p w14:paraId="6CDBB865">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lang w:val="en-US" w:eastAsia="zh-CN"/>
              </w:rPr>
              <w:t>重金属含量不大于 10ug/g</w:t>
            </w:r>
          </w:p>
          <w:p w14:paraId="2EF4978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default" w:ascii="宋体" w:hAnsi="宋体" w:eastAsia="宋体" w:cs="宋体"/>
                <w:color w:val="auto"/>
                <w:sz w:val="21"/>
                <w:szCs w:val="21"/>
                <w:highlight w:val="none"/>
                <w:lang w:val="en-US" w:eastAsia="zh-CN"/>
              </w:rPr>
              <w:t>不含果胶、明胶和其他动物基质。无细胞毒性、皮肤刺激和迟发型超敏反应。</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290BDEB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2A50F77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613455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r>
      <w:tr w14:paraId="59B2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2EEEBF9E">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183798D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一次性使用无菌换药包</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69CA11B">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纸盒包装，灭菌后环氧乙烷残留量应不大于10ug/g</w:t>
            </w:r>
          </w:p>
          <w:p w14:paraId="349D74C2">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脱脂棉球原材料脱脂棉应符合YY/T0330-2015</w:t>
            </w:r>
          </w:p>
          <w:p w14:paraId="18D47BF6">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碘伏棉球每10颗含碘伏重量≥34g，脱脂棉球与碘伏溶液配比：1：7.5，含量应达到2g/L-5.3g/L碘伏溶液。</w:t>
            </w:r>
          </w:p>
          <w:p w14:paraId="168A00A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换药碗要求有2个，镊子必须是金属材质</w:t>
            </w:r>
            <w:r>
              <w:rPr>
                <w:rFonts w:hint="eastAsia" w:ascii="宋体" w:hAnsi="宋体" w:eastAsia="宋体" w:cs="宋体"/>
                <w:color w:val="auto"/>
                <w:sz w:val="21"/>
                <w:szCs w:val="21"/>
                <w:highlight w:val="none"/>
                <w:lang w:val="en-US" w:eastAsia="zh-CN"/>
              </w:rPr>
              <w:t>。</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2DB3F38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066E737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D824FC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r>
      <w:tr w14:paraId="61EC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022F23B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45115F5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医用透明粘膜吸套</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EF16461">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材料为热塑性聚氨酯，分为前端、后端直壁配合部和后端带斜坡配合部</w:t>
            </w:r>
          </w:p>
          <w:p w14:paraId="5F042D3B">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外观：表面无细孔、裂纹和毛刺，产品应透明，外观无破损、明显变形现象。</w:t>
            </w:r>
          </w:p>
          <w:p w14:paraId="6B8C79CD">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硬度：80-100范围内</w:t>
            </w:r>
          </w:p>
          <w:p w14:paraId="6C3BA23E">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弹性变形：要求安装在内径先端，外观无破损、明显变形现象，应不妨碍内径观察。</w:t>
            </w:r>
          </w:p>
          <w:p w14:paraId="32480D18">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生物安全性：细胞毒性反应应该不大于I级，应无致敏反应，刺激反应，试验样品对照，平均记分之差不大于0.1</w:t>
            </w:r>
          </w:p>
          <w:p w14:paraId="2A39A5D6">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化学性能：蒸发残渣，金属离子，还原物质符合相关要求。</w:t>
            </w:r>
          </w:p>
          <w:p w14:paraId="55C12DE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lang w:val="en-US" w:eastAsia="zh-CN"/>
              </w:rPr>
              <w:t>无菌：环氧乙烷灭菌后，其残留量应不大于10Ug/g</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2CE74A7E">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0DCA4E5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E0EC45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r>
      <w:tr w14:paraId="748A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06C6607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1D4BA23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一次性使用溶药注射器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9FCBBE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1、一次性使用溶药注射器由外套、芯杆、活塞、针座、侧孔针管（直孔针管）、护套扽组成</w:t>
            </w:r>
          </w:p>
          <w:p w14:paraId="00BD7BAA">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2、侧孔针：0.9、1.1、1.2、1.4、1.6</w:t>
            </w:r>
          </w:p>
          <w:p w14:paraId="77B8B7F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3、仅供临床配制药液、溶药、加药及抽吸药液使用。</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F7B86B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304A682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C6A179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r>
      <w:tr w14:paraId="19CE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0998F62D">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1A209A4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造口袋</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B933910">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底盘双螺旋黏胶</w:t>
            </w:r>
          </w:p>
          <w:p w14:paraId="447AE0FA">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最大剪孔70mm，容积≥510ml</w:t>
            </w:r>
          </w:p>
          <w:p w14:paraId="2F4F9F6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白色无纺布衬里和透明薄膜</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6931ACB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25B6356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5CDA0A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r>
      <w:tr w14:paraId="7D7A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981E0BC">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27B2232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一次性口垫</w:t>
            </w:r>
          </w:p>
          <w:p w14:paraId="6D82858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(有舌带</w:t>
            </w:r>
          </w:p>
          <w:p w14:paraId="6FD31E3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绳 )</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731DC6D">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口垫按用途分为:A 型(胃镜咬口)、B 型(有舌胃镜咬口)、C 型(雾化咬口)、D 型(肺功能咬口)、E 型(松紧咬口)、F 型(牙垫)。</w:t>
            </w:r>
          </w:p>
          <w:p w14:paraId="3B326179">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手术或检查时患者开口的辅助器械，防止非预期咬合。</w:t>
            </w:r>
          </w:p>
          <w:p w14:paraId="5E58B22D">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手术或检查时患者开口的辅助器械，采用聚乙烯高分子材料制成。</w:t>
            </w:r>
          </w:p>
          <w:p w14:paraId="2D74C90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用于经口腔手术或检查时维持患者的开口状态，防止非预期咬合。</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20E6885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6792373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834813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14:paraId="3EB6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7853FBA7">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0234A19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扩肛器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9954042">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采用塑料制成、由套筒、桶芯和送线器组成。</w:t>
            </w:r>
          </w:p>
          <w:p w14:paraId="5D8D04C7">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外形应光滑、匀称、各部位无毛刺、无锋棱，无裂纹等缺陷，套筒应圆整，内壁光滑，头端边缘应圆钝，不得有锐口，毛刺，筒芯头端应光滑，与镜管配合应吻合，其最大间隙应不大于0.6MM</w:t>
            </w:r>
          </w:p>
          <w:p w14:paraId="30A939B4">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强度：在前端10MM处，施加30N的静态载荷后，任何部位不得断裂。</w:t>
            </w:r>
          </w:p>
          <w:p w14:paraId="667E868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表面粗糙度：表面粗糙度参数Ra之数值不大于：内表面3.2微米，外表面0.4微米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494594A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0786FAB6">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A5ACD2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r>
      <w:tr w14:paraId="7AB8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A803693">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3D9CFDE6">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气管切开插管套件</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3247B22">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气管切开插管（1个）、内套管（1个）、套管针（1根）、固定带（2条）、导丝（1条）、大导丝导引器（1个）、小导丝导引器（1个）、导丝弯头保护器（1个）、一次性溶药注射器（1支）、手术刀片（1片）、脱脂棉纱布（4片）、消毒刷（3个）、中单（1张）、小单（1张）和孔巾（1条）组成。</w:t>
            </w:r>
          </w:p>
          <w:p w14:paraId="57A9D5DD">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其中气管切开插管直径为：6.5mm~11.0mm±0.2mm，主要由聚氯乙烯材料制成，有单腔（TRTP1）、双腔（TRTP2）和三腔（TRTP3）三种规格。</w:t>
            </w:r>
          </w:p>
          <w:p w14:paraId="715A439B">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内套管由聚乙烯制成，规格有：7#、7.5#，8#和8.5#。</w:t>
            </w:r>
          </w:p>
          <w:p w14:paraId="6FCAD805">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导丝由不锈钢制成，直径为：0.36mm~1.27mm。</w:t>
            </w:r>
          </w:p>
          <w:p w14:paraId="5065E75B">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一次性溶药注射器规格为：5ml。</w:t>
            </w:r>
          </w:p>
          <w:p w14:paraId="22929B52">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手术刀片为11#。</w:t>
            </w:r>
          </w:p>
          <w:p w14:paraId="2E6BC7F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套管针为14G，导管长度为45mm±5mm。</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709755B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2D7A32F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5134F6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510</w:t>
            </w:r>
          </w:p>
        </w:tc>
      </w:tr>
      <w:tr w14:paraId="755D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133A3189">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759D4B8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牛角型经皮扩张气管切开管套件</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D978CC9">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1、产品名称：经皮扩张气管切开管套件（牛角型）</w:t>
            </w:r>
          </w:p>
          <w:p w14:paraId="731DFC70">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2、适应症：所有需要长时间机械通气治疗的患者，颌面部，头颈部大手术或严重创伤的病人，高位颈椎损伤，特别是损伤后立即出现呼吸困难者，应及时实施气管切开。</w:t>
            </w:r>
          </w:p>
          <w:p w14:paraId="0E174F8E">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3、产品说明：用于经皮扩张气管切开术，采用Seldinger穿刺技术，经环状软骨下去选择性控制插入气管切开套管，进行气道管理。                              </w:t>
            </w:r>
          </w:p>
          <w:p w14:paraId="7DD5580C">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①材质要求：热敏PVC材质，确保初始置管时的硬度,插管材质随体温变化亦可降低组织损伤可能。</w:t>
            </w:r>
          </w:p>
          <w:p w14:paraId="43AFAA33">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结构组成：产品由气管切开插管、牛角型扩张器、扩张器、气管切开插管插管芯（导入器）、导引导管、长柄手术刀、导丝、导丝推送器、软套针、一次性使用配药注射器、海绵固定带、脱脂纱布、洞巾、铺巾组成；其中，气管切开插管由聚氯乙烯、聚甲醛制成；牛角型扩张器由聚氨酯、聚乙烯吡络烷酮制成；扩张器由聚丙烯制成；导丝由镍钛、不锈钢、聚四氟乙烯制成。型号齐全，适合各种成人患者，如ISO尺寸7.0mm-8.0mm。</w:t>
            </w:r>
          </w:p>
          <w:p w14:paraId="16ED2DB3">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③一次性使用，无需消毒。15mm标准接头，可以连接呼吸机和呼吸球囊，便于抢救和通气。</w:t>
            </w:r>
          </w:p>
          <w:p w14:paraId="632D1269">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④插管管身角度&gt;100度，符合人体解剖学。管身柔软，提高患者舒适度。独特蓝线设计Blue Line让插管在X线下可见。</w:t>
            </w:r>
          </w:p>
          <w:p w14:paraId="62479E1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⑤Soft Seal低压高容套囊有效防止误吸的同时减少气道损伤。顶部圆滑形设计,减少气管壁损伤。</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7A8885DC">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78B3923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25A6B5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2350</w:t>
            </w:r>
          </w:p>
        </w:tc>
      </w:tr>
      <w:tr w14:paraId="0361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6611927D">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eastAsia="zh-CN"/>
              </w:rPr>
            </w:pPr>
            <w:r>
              <w:rPr>
                <w:rFonts w:hint="eastAsia" w:ascii="宋体" w:hAnsi="宋体" w:eastAsia="宋体" w:cs="宋体"/>
                <w:b/>
                <w:color w:val="auto"/>
                <w:sz w:val="21"/>
                <w:szCs w:val="21"/>
                <w:highlight w:val="none"/>
              </w:rPr>
              <w:t>说明：</w:t>
            </w:r>
          </w:p>
          <w:p w14:paraId="06DAE77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1、投标人的投标文件必须标明所供货物的品牌与参数，保证原厂正品供货，提供相关资料等，如为进口产品需在备注栏标明进口。</w:t>
            </w:r>
          </w:p>
          <w:p w14:paraId="5C9382DA">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2、属于集采平台目录内的产品,必须满足两票制和安徽省医药集中采购中心平台价格上传有关要求，并在平台配送，如供货价格高于集采平台价格，则按集采平台价格进行供货。</w:t>
            </w:r>
          </w:p>
          <w:p w14:paraId="0869DF81">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3、本表中的“数量”为预计三年使用量，仅供投标人报价时参考。</w:t>
            </w:r>
          </w:p>
          <w:p w14:paraId="192FF5F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4、供货期自合同签订之日起三年或采购费用总额达到该本项目总中标价时，以先到者为准，在供货期内按照采购人的要求分批供货，据实结算。</w:t>
            </w:r>
          </w:p>
          <w:p w14:paraId="505E570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5、必须满足我院耗材精细化管理的要求(服务费率：供货金额的2%)。服务期内如遇国家、省、市医保带量采购等相关政策调整，按国家、省、市医保带量采购等相关政策执行。</w:t>
            </w:r>
          </w:p>
          <w:p w14:paraId="49682DCA">
            <w:pPr>
              <w:pageBreakBefore w:val="0"/>
              <w:kinsoku/>
              <w:overflowPunct/>
              <w:topLinePunct w:val="0"/>
              <w:bidi w:val="0"/>
              <w:snapToGrid/>
              <w:spacing w:line="420" w:lineRule="exact"/>
              <w:jc w:val="left"/>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6、合同履行的过程中，如因安徽省医药集中采购中心平台限价降低导致价格低于合同价，乙方须主动将所供产品价格降为平台以下价格。如因主管部门等政府行为需要重新招标时，合同自动终止</w:t>
            </w:r>
            <w:r>
              <w:rPr>
                <w:rFonts w:hint="eastAsia" w:ascii="仿宋" w:hAnsi="仿宋" w:eastAsia="仿宋" w:cs="仿宋"/>
                <w:b w:val="0"/>
                <w:bCs/>
                <w:color w:val="000000"/>
                <w:kern w:val="2"/>
                <w:sz w:val="21"/>
                <w:szCs w:val="21"/>
                <w:highlight w:val="none"/>
                <w:lang w:val="en-US" w:eastAsia="zh-CN"/>
              </w:rPr>
              <w:t>。</w:t>
            </w:r>
          </w:p>
        </w:tc>
      </w:tr>
      <w:bookmarkEnd w:id="0"/>
      <w:bookmarkEnd w:id="5"/>
      <w:bookmarkEnd w:id="6"/>
    </w:tbl>
    <w:p w14:paraId="4D6F50B5">
      <w:pPr>
        <w:spacing w:line="360" w:lineRule="auto"/>
        <w:ind w:firstLine="437"/>
        <w:outlineLvl w:val="1"/>
        <w:rPr>
          <w:rFonts w:ascii="宋体" w:hAnsi="宋体" w:eastAsia="宋体"/>
          <w:b/>
          <w:bCs/>
          <w:color w:val="auto"/>
          <w:sz w:val="21"/>
          <w:szCs w:val="21"/>
          <w:highlight w:val="none"/>
        </w:rPr>
      </w:pPr>
      <w:bookmarkStart w:id="7" w:name="_Toc7421"/>
      <w:bookmarkStart w:id="8" w:name="_Toc4843"/>
      <w:r>
        <w:rPr>
          <w:rFonts w:hint="eastAsia" w:ascii="宋体" w:hAnsi="宋体" w:eastAsia="宋体"/>
          <w:b/>
          <w:bCs/>
          <w:color w:val="auto"/>
          <w:sz w:val="21"/>
          <w:szCs w:val="21"/>
          <w:highlight w:val="none"/>
        </w:rPr>
        <w:t>三、</w:t>
      </w:r>
      <w:bookmarkEnd w:id="7"/>
      <w:bookmarkEnd w:id="8"/>
      <w:bookmarkStart w:id="9" w:name="_Toc15293"/>
      <w:bookmarkStart w:id="10" w:name="_Toc14698"/>
      <w:r>
        <w:rPr>
          <w:rFonts w:hint="eastAsia" w:ascii="宋体" w:hAnsi="宋体" w:eastAsia="宋体"/>
          <w:b/>
          <w:bCs/>
          <w:color w:val="auto"/>
          <w:sz w:val="21"/>
          <w:szCs w:val="21"/>
          <w:highlight w:val="none"/>
        </w:rPr>
        <w:t>其他要求</w:t>
      </w:r>
      <w:bookmarkEnd w:id="9"/>
      <w:bookmarkEnd w:id="10"/>
    </w:p>
    <w:p w14:paraId="5ECFE4E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179A722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5126B9D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10710"/>
      <w:bookmarkStart w:id="12" w:name="_Toc6897"/>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0952E16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11"/>
    <w:bookmarkEnd w:id="12"/>
    <w:p w14:paraId="227B17AB">
      <w:pPr>
        <w:pStyle w:val="3"/>
        <w:numPr>
          <w:ilvl w:val="0"/>
          <w:numId w:val="0"/>
        </w:numPr>
        <w:ind w:leftChars="0"/>
        <w:rPr>
          <w:rFonts w:hint="eastAsia" w:ascii="宋体" w:hAnsi="宋体" w:eastAsia="宋体" w:cs="宋体"/>
          <w:b/>
          <w:bCs/>
          <w:color w:val="auto"/>
          <w:highlight w:val="none"/>
          <w:lang w:val="en-US" w:eastAsia="zh-CN"/>
        </w:rPr>
      </w:pPr>
    </w:p>
    <w:p w14:paraId="0A5BCEFD">
      <w:pPr>
        <w:pStyle w:val="3"/>
        <w:numPr>
          <w:ilvl w:val="0"/>
          <w:numId w:val="0"/>
        </w:numPr>
        <w:ind w:leftChars="0"/>
        <w:rPr>
          <w:rFonts w:hint="eastAsia" w:ascii="宋体" w:hAnsi="宋体" w:eastAsia="宋体" w:cs="宋体"/>
          <w:b/>
          <w:bCs/>
          <w:color w:val="auto"/>
          <w:highlight w:val="none"/>
          <w:lang w:val="en-US" w:eastAsia="zh-CN"/>
        </w:rPr>
      </w:pPr>
    </w:p>
    <w:p w14:paraId="19D28F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E2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1260"/>
        <w:tab w:val="right" w:leader="dot" w:pos="9060"/>
      </w:tabs>
      <w:spacing w:line="500" w:lineRule="exact"/>
    </w:pPr>
    <w:rPr>
      <w:sz w:val="24"/>
    </w:rPr>
  </w:style>
  <w:style w:type="paragraph" w:styleId="5">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2025-08-28T03:23:28Z</dcterms:created>
  <dc:creator>Administrator</dc:creator>
  <cp:lastModifiedBy>调皮あ小女</cp:lastModifiedBy>
  <dcterms:modified xsi:type="dcterms:W3CDTF">2025-08-28T03:27:22Z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BD4D7AF6CBF047B69525CAE959467BA8_12</vt:lpwstr>
  </property>
</Properties>
</file>