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8BB66">
      <w:pPr>
        <w:pStyle w:val="2"/>
        <w:numPr>
          <w:ilvl w:val="0"/>
          <w:numId w:val="0"/>
        </w:numPr>
        <w:ind w:leftChars="0"/>
        <w:rPr>
          <w:rFonts w:hint="eastAsia" w:ascii="宋体" w:hAnsi="宋体" w:eastAsia="宋体" w:cs="宋体"/>
        </w:rPr>
      </w:pPr>
      <w:bookmarkStart w:id="0" w:name="_Toc5291"/>
      <w:bookmarkStart w:id="21" w:name="_GoBack"/>
      <w:bookmarkEnd w:id="21"/>
      <w:r>
        <w:rPr>
          <w:rFonts w:hint="eastAsia" w:ascii="宋体" w:hAnsi="宋体" w:eastAsia="宋体" w:cs="宋体"/>
          <w:lang w:val="en-US" w:eastAsia="zh-CN"/>
        </w:rPr>
        <w:t>采购需求</w:t>
      </w:r>
      <w:bookmarkEnd w:id="0"/>
    </w:p>
    <w:p w14:paraId="73661E74">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sz w:val="21"/>
          <w:szCs w:val="21"/>
          <w:highlight w:val="none"/>
        </w:rPr>
      </w:pPr>
      <w:bookmarkStart w:id="1" w:name="bookmark47"/>
      <w:r>
        <w:rPr>
          <w:rFonts w:hint="eastAsia" w:ascii="宋体" w:hAnsi="宋体" w:eastAsia="宋体" w:cs="宋体"/>
          <w:b/>
          <w:bCs/>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18054D5B">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在采购活动开始前没有获准采购进口产品而开展采购活动的，视同为拒绝采购进口产品。</w:t>
      </w:r>
    </w:p>
    <w:p w14:paraId="6D3C9738">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中标人提供的货物为进口产品的，供货时须向</w:t>
      </w:r>
      <w:r>
        <w:rPr>
          <w:rFonts w:hint="eastAsia" w:ascii="宋体" w:hAnsi="宋体" w:eastAsia="宋体" w:cs="宋体"/>
          <w:b/>
          <w:bCs/>
          <w:sz w:val="21"/>
          <w:szCs w:val="21"/>
          <w:highlight w:val="none"/>
          <w:lang w:eastAsia="zh-CN"/>
        </w:rPr>
        <w:t>招标人</w:t>
      </w:r>
      <w:r>
        <w:rPr>
          <w:rFonts w:hint="eastAsia" w:ascii="宋体" w:hAnsi="宋体" w:eastAsia="宋体" w:cs="宋体"/>
          <w:b/>
          <w:bCs/>
          <w:sz w:val="21"/>
          <w:szCs w:val="21"/>
          <w:highlight w:val="none"/>
        </w:rPr>
        <w:t>提供所投进口产品的海关报关单等证明材料。</w:t>
      </w:r>
    </w:p>
    <w:p w14:paraId="16669CE0">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原装进口的产品，如国内产品满足需求也可参与采购竞争。</w:t>
      </w:r>
    </w:p>
    <w:p w14:paraId="242454AA">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一、商务要求</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在投标文件格式“投标响应表”中进行逐条承诺</w:t>
      </w:r>
      <w:r>
        <w:rPr>
          <w:rFonts w:hint="eastAsia" w:ascii="宋体" w:hAnsi="宋体" w:eastAsia="宋体" w:cs="宋体"/>
          <w:b/>
          <w:bCs/>
          <w:sz w:val="21"/>
          <w:szCs w:val="21"/>
          <w:highlight w:val="none"/>
          <w:lang w:eastAsia="zh-CN"/>
        </w:rPr>
        <w:t>）</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546"/>
        <w:gridCol w:w="5264"/>
      </w:tblGrid>
      <w:tr w14:paraId="5FDE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6" w:type="pct"/>
            <w:noWrap w:val="0"/>
            <w:vAlign w:val="center"/>
          </w:tcPr>
          <w:p w14:paraId="166D5071">
            <w:pPr>
              <w:pStyle w:val="5"/>
              <w:pageBreakBefore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494" w:type="pct"/>
            <w:noWrap w:val="0"/>
            <w:vAlign w:val="center"/>
          </w:tcPr>
          <w:p w14:paraId="32539CE2">
            <w:pPr>
              <w:pStyle w:val="5"/>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商务条款名称</w:t>
            </w:r>
          </w:p>
        </w:tc>
        <w:tc>
          <w:tcPr>
            <w:tcW w:w="3089" w:type="pct"/>
            <w:noWrap w:val="0"/>
            <w:vAlign w:val="center"/>
          </w:tcPr>
          <w:p w14:paraId="26EEB8A1">
            <w:pPr>
              <w:pStyle w:val="5"/>
              <w:pageBreakBefore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具体要求内容</w:t>
            </w:r>
          </w:p>
        </w:tc>
      </w:tr>
      <w:tr w14:paraId="54A8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6" w:type="pct"/>
            <w:noWrap w:val="0"/>
            <w:vAlign w:val="center"/>
          </w:tcPr>
          <w:p w14:paraId="28DE2A69">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94" w:type="pct"/>
            <w:noWrap w:val="0"/>
            <w:vAlign w:val="center"/>
          </w:tcPr>
          <w:p w14:paraId="37388634">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3089" w:type="pct"/>
            <w:noWrap w:val="0"/>
            <w:vAlign w:val="center"/>
          </w:tcPr>
          <w:p w14:paraId="6A01E207">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验收合格后付至合同价款的97.5%，剩余价款待质保期满后一次性付清</w:t>
            </w:r>
          </w:p>
        </w:tc>
      </w:tr>
      <w:tr w14:paraId="4FD4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6" w:type="pct"/>
            <w:noWrap w:val="0"/>
            <w:vAlign w:val="center"/>
          </w:tcPr>
          <w:p w14:paraId="76DAC66F">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94" w:type="pct"/>
            <w:noWrap w:val="0"/>
            <w:vAlign w:val="center"/>
          </w:tcPr>
          <w:p w14:paraId="55DFAD30">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供货及安装地点</w:t>
            </w:r>
          </w:p>
        </w:tc>
        <w:tc>
          <w:tcPr>
            <w:tcW w:w="3089" w:type="pct"/>
            <w:noWrap w:val="0"/>
            <w:vAlign w:val="center"/>
          </w:tcPr>
          <w:p w14:paraId="13544FF9">
            <w:pPr>
              <w:pageBreakBefore w:val="0"/>
              <w:kinsoku/>
              <w:overflowPunct/>
              <w:topLinePunct w:val="0"/>
              <w:bidi w:val="0"/>
              <w:snapToGrid/>
              <w:spacing w:line="42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采购人指定地点</w:t>
            </w:r>
          </w:p>
        </w:tc>
      </w:tr>
      <w:tr w14:paraId="340D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6" w:type="pct"/>
            <w:noWrap w:val="0"/>
            <w:vAlign w:val="center"/>
          </w:tcPr>
          <w:p w14:paraId="7663B5D8">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94" w:type="pct"/>
            <w:noWrap w:val="0"/>
            <w:vAlign w:val="center"/>
          </w:tcPr>
          <w:p w14:paraId="5B1BE4A1">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交货、安装、调试期</w:t>
            </w:r>
          </w:p>
          <w:p w14:paraId="4400B5E5">
            <w:pPr>
              <w:pageBreakBefore w:val="0"/>
              <w:kinsoku/>
              <w:overflowPunct/>
              <w:topLinePunct w:val="0"/>
              <w:bidi w:val="0"/>
              <w:snapToGrid/>
              <w:spacing w:line="420" w:lineRule="exact"/>
              <w:jc w:val="center"/>
              <w:textAlignment w:val="auto"/>
              <w:rPr>
                <w:rFonts w:hint="eastAsia"/>
                <w:highlight w:val="none"/>
              </w:rPr>
            </w:pPr>
            <w:r>
              <w:rPr>
                <w:rFonts w:hint="eastAsia" w:ascii="宋体" w:hAnsi="宋体" w:eastAsia="宋体" w:cs="宋体"/>
                <w:sz w:val="21"/>
                <w:szCs w:val="21"/>
                <w:highlight w:val="none"/>
                <w:lang w:val="en-US" w:eastAsia="zh-CN"/>
              </w:rPr>
              <w:t>（即合同履行期限）</w:t>
            </w:r>
          </w:p>
        </w:tc>
        <w:tc>
          <w:tcPr>
            <w:tcW w:w="3089" w:type="pct"/>
            <w:noWrap w:val="0"/>
            <w:vAlign w:val="center"/>
          </w:tcPr>
          <w:p w14:paraId="27181D38">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olor w:val="auto"/>
                <w:sz w:val="21"/>
                <w:szCs w:val="21"/>
                <w:highlight w:val="none"/>
                <w:lang w:val="en-US" w:eastAsia="zh-CN"/>
              </w:rPr>
              <w:t>合同签订后15个工作日内</w:t>
            </w:r>
          </w:p>
        </w:tc>
      </w:tr>
      <w:tr w14:paraId="130E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6" w:type="pct"/>
            <w:noWrap w:val="0"/>
            <w:vAlign w:val="center"/>
          </w:tcPr>
          <w:p w14:paraId="12F58CD3">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494" w:type="pct"/>
            <w:noWrap w:val="0"/>
            <w:vAlign w:val="center"/>
          </w:tcPr>
          <w:p w14:paraId="377E7CF5">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color w:val="auto"/>
                <w:sz w:val="21"/>
                <w:szCs w:val="21"/>
                <w:highlight w:val="none"/>
                <w:lang w:val="en-US" w:eastAsia="zh-CN"/>
              </w:rPr>
              <w:t>免费质保期</w:t>
            </w:r>
          </w:p>
        </w:tc>
        <w:tc>
          <w:tcPr>
            <w:tcW w:w="3089" w:type="pct"/>
            <w:noWrap w:val="0"/>
            <w:vAlign w:val="center"/>
          </w:tcPr>
          <w:p w14:paraId="60D8F17B">
            <w:pPr>
              <w:pageBreakBefore w:val="0"/>
              <w:kinsoku/>
              <w:overflowPunct/>
              <w:topLinePunct w:val="0"/>
              <w:bidi w:val="0"/>
              <w:snapToGrid/>
              <w:spacing w:line="42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按照设备国家质保标准</w:t>
            </w:r>
          </w:p>
        </w:tc>
      </w:tr>
    </w:tbl>
    <w:p w14:paraId="207A569E">
      <w:pPr>
        <w:pStyle w:val="3"/>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cs="宋体"/>
          <w:bCs/>
          <w:sz w:val="21"/>
          <w:szCs w:val="21"/>
          <w:highlight w:val="none"/>
        </w:rPr>
      </w:pPr>
      <w:bookmarkStart w:id="2" w:name="_Toc22728"/>
      <w:bookmarkStart w:id="3" w:name="_Toc10379"/>
      <w:bookmarkStart w:id="4" w:name="_Toc20068"/>
      <w:bookmarkStart w:id="5" w:name="_Toc490682725"/>
      <w:r>
        <w:rPr>
          <w:rFonts w:hint="eastAsia" w:ascii="宋体" w:hAnsi="宋体" w:eastAsia="宋体" w:cs="宋体"/>
          <w:bCs/>
          <w:sz w:val="21"/>
          <w:szCs w:val="21"/>
          <w:highlight w:val="none"/>
          <w:lang w:val="en-US" w:eastAsia="zh-CN"/>
        </w:rPr>
        <w:t>二、货物需求技术要求</w:t>
      </w:r>
      <w:bookmarkEnd w:id="2"/>
      <w:bookmarkEnd w:id="3"/>
      <w:bookmarkEnd w:id="4"/>
      <w:bookmarkEnd w:id="5"/>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以下每条在投标文件格式“投标响应表”中进行逐条响应</w:t>
      </w:r>
      <w:r>
        <w:rPr>
          <w:rFonts w:hint="eastAsia" w:ascii="宋体" w:hAnsi="宋体" w:eastAsia="宋体" w:cs="宋体"/>
          <w:b/>
          <w:bCs/>
          <w:sz w:val="21"/>
          <w:szCs w:val="21"/>
          <w:highlight w:val="none"/>
          <w:lang w:eastAsia="zh-CN"/>
        </w:rPr>
        <w:t>）</w:t>
      </w:r>
    </w:p>
    <w:tbl>
      <w:tblPr>
        <w:tblStyle w:val="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95"/>
        <w:gridCol w:w="1422"/>
        <w:gridCol w:w="1268"/>
        <w:gridCol w:w="357"/>
        <w:gridCol w:w="2352"/>
        <w:gridCol w:w="810"/>
        <w:gridCol w:w="718"/>
      </w:tblGrid>
      <w:tr w14:paraId="376E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noWrap w:val="0"/>
            <w:vAlign w:val="top"/>
          </w:tcPr>
          <w:p w14:paraId="0B0625A3">
            <w:pPr>
              <w:pStyle w:val="4"/>
              <w:ind w:left="0" w:leftChars="0" w:firstLine="0" w:firstLineChars="0"/>
              <w:jc w:val="center"/>
              <w:rPr>
                <w:rFonts w:hint="eastAsia"/>
                <w:b/>
                <w:bCs/>
                <w:sz w:val="21"/>
                <w:szCs w:val="21"/>
                <w:vertAlign w:val="baseline"/>
                <w:lang w:val="en-US" w:eastAsia="zh-CN"/>
              </w:rPr>
            </w:pPr>
            <w:bookmarkStart w:id="6" w:name="_Toc27256"/>
            <w:bookmarkStart w:id="7" w:name="_Toc18393"/>
            <w:bookmarkStart w:id="8" w:name="_Toc27108"/>
            <w:bookmarkStart w:id="9" w:name="_Toc490682726"/>
            <w:bookmarkStart w:id="10" w:name="_Toc4579"/>
            <w:r>
              <w:rPr>
                <w:rFonts w:hint="eastAsia"/>
                <w:b/>
                <w:bCs/>
                <w:sz w:val="21"/>
                <w:szCs w:val="21"/>
                <w:vertAlign w:val="baseline"/>
                <w:lang w:val="en-US" w:eastAsia="zh-CN"/>
              </w:rPr>
              <w:t>设备</w:t>
            </w:r>
          </w:p>
          <w:p w14:paraId="5D784363">
            <w:pPr>
              <w:pStyle w:val="4"/>
              <w:ind w:left="0" w:leftChars="0" w:firstLine="0" w:firstLineChars="0"/>
              <w:jc w:val="center"/>
              <w:rPr>
                <w:rFonts w:hint="default" w:eastAsia="宋体"/>
                <w:b/>
                <w:bCs/>
                <w:sz w:val="21"/>
                <w:szCs w:val="21"/>
                <w:vertAlign w:val="baseline"/>
                <w:lang w:val="en-US" w:eastAsia="zh-CN"/>
              </w:rPr>
            </w:pPr>
            <w:r>
              <w:rPr>
                <w:rFonts w:hint="eastAsia"/>
                <w:b/>
                <w:bCs/>
                <w:sz w:val="21"/>
                <w:szCs w:val="21"/>
                <w:vertAlign w:val="baseline"/>
                <w:lang w:val="en-US" w:eastAsia="zh-CN"/>
              </w:rPr>
              <w:t>名称</w:t>
            </w:r>
          </w:p>
        </w:tc>
        <w:tc>
          <w:tcPr>
            <w:tcW w:w="6750" w:type="dxa"/>
            <w:gridSpan w:val="5"/>
            <w:noWrap w:val="0"/>
            <w:vAlign w:val="center"/>
          </w:tcPr>
          <w:p w14:paraId="18032A36">
            <w:pPr>
              <w:pStyle w:val="4"/>
              <w:jc w:val="center"/>
              <w:rPr>
                <w:b/>
                <w:bCs/>
                <w:sz w:val="21"/>
                <w:szCs w:val="21"/>
                <w:vertAlign w:val="baseline"/>
              </w:rPr>
            </w:pPr>
            <w:r>
              <w:rPr>
                <w:rFonts w:hint="eastAsia"/>
                <w:b/>
                <w:bCs/>
                <w:sz w:val="21"/>
                <w:szCs w:val="21"/>
                <w:vertAlign w:val="baseline"/>
                <w:lang w:val="en-US" w:eastAsia="zh-CN"/>
              </w:rPr>
              <w:t>招标技术参数</w:t>
            </w:r>
          </w:p>
        </w:tc>
        <w:tc>
          <w:tcPr>
            <w:tcW w:w="883" w:type="dxa"/>
            <w:noWrap w:val="0"/>
            <w:vAlign w:val="center"/>
          </w:tcPr>
          <w:p w14:paraId="4CCD60AA">
            <w:pPr>
              <w:pStyle w:val="4"/>
              <w:ind w:left="0" w:leftChars="0" w:firstLine="0" w:firstLineChars="0"/>
              <w:jc w:val="center"/>
              <w:rPr>
                <w:rFonts w:hint="default" w:eastAsia="宋体"/>
                <w:b/>
                <w:bCs/>
                <w:sz w:val="21"/>
                <w:szCs w:val="21"/>
                <w:vertAlign w:val="baseline"/>
                <w:lang w:val="en-US" w:eastAsia="zh-CN"/>
              </w:rPr>
            </w:pPr>
            <w:r>
              <w:rPr>
                <w:rFonts w:hint="eastAsia"/>
                <w:b/>
                <w:bCs/>
                <w:sz w:val="21"/>
                <w:szCs w:val="21"/>
                <w:vertAlign w:val="baseline"/>
                <w:lang w:val="en-US" w:eastAsia="zh-CN"/>
              </w:rPr>
              <w:t>单位</w:t>
            </w:r>
          </w:p>
        </w:tc>
        <w:tc>
          <w:tcPr>
            <w:tcW w:w="783" w:type="dxa"/>
            <w:noWrap w:val="0"/>
            <w:vAlign w:val="center"/>
          </w:tcPr>
          <w:p w14:paraId="798D1250">
            <w:pPr>
              <w:pStyle w:val="4"/>
              <w:ind w:left="0" w:leftChars="0" w:firstLine="0" w:firstLineChars="0"/>
              <w:jc w:val="center"/>
              <w:rPr>
                <w:rFonts w:hint="eastAsia" w:eastAsia="宋体"/>
                <w:b/>
                <w:bCs/>
                <w:sz w:val="21"/>
                <w:szCs w:val="21"/>
                <w:vertAlign w:val="baseline"/>
                <w:lang w:val="en-US" w:eastAsia="zh-CN"/>
              </w:rPr>
            </w:pPr>
            <w:r>
              <w:rPr>
                <w:rFonts w:hint="eastAsia"/>
                <w:b/>
                <w:bCs/>
                <w:sz w:val="21"/>
                <w:szCs w:val="21"/>
                <w:vertAlign w:val="baseline"/>
                <w:lang w:val="en-US" w:eastAsia="zh-CN"/>
              </w:rPr>
              <w:t>数量</w:t>
            </w:r>
          </w:p>
        </w:tc>
      </w:tr>
      <w:tr w14:paraId="5BE1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restart"/>
            <w:noWrap w:val="0"/>
            <w:vAlign w:val="center"/>
          </w:tcPr>
          <w:p w14:paraId="07389A7F">
            <w:pPr>
              <w:pStyle w:val="4"/>
              <w:ind w:left="0" w:leftChars="0" w:firstLine="0" w:firstLineChars="0"/>
              <w:jc w:val="center"/>
              <w:rPr>
                <w:rFonts w:hint="eastAsia"/>
                <w:b/>
                <w:bCs/>
                <w:sz w:val="21"/>
                <w:szCs w:val="21"/>
                <w:vertAlign w:val="baseline"/>
                <w:lang w:val="en-US" w:eastAsia="zh-CN"/>
              </w:rPr>
            </w:pPr>
          </w:p>
          <w:p w14:paraId="2301984A">
            <w:pPr>
              <w:pStyle w:val="4"/>
              <w:ind w:left="0" w:leftChars="0" w:firstLine="0" w:firstLineChars="0"/>
              <w:jc w:val="center"/>
              <w:rPr>
                <w:rFonts w:hint="default" w:eastAsia="宋体"/>
                <w:sz w:val="21"/>
                <w:szCs w:val="21"/>
                <w:vertAlign w:val="baseline"/>
                <w:lang w:val="en-US" w:eastAsia="zh-CN"/>
              </w:rPr>
            </w:pPr>
            <w:r>
              <w:rPr>
                <w:rFonts w:hint="eastAsia"/>
                <w:b/>
                <w:bCs/>
                <w:sz w:val="21"/>
                <w:szCs w:val="21"/>
                <w:vertAlign w:val="baseline"/>
                <w:lang w:val="en-US" w:eastAsia="zh-CN"/>
              </w:rPr>
              <w:t>氨氮水质在线检测仪器</w:t>
            </w:r>
          </w:p>
        </w:tc>
        <w:tc>
          <w:tcPr>
            <w:tcW w:w="2416" w:type="dxa"/>
            <w:gridSpan w:val="2"/>
            <w:noWrap w:val="0"/>
            <w:vAlign w:val="top"/>
          </w:tcPr>
          <w:p w14:paraId="17E9C73D">
            <w:pPr>
              <w:pStyle w:val="4"/>
              <w:jc w:val="both"/>
              <w:rPr>
                <w:rFonts w:hint="default" w:eastAsia="宋体"/>
                <w:sz w:val="21"/>
                <w:szCs w:val="21"/>
                <w:vertAlign w:val="baseline"/>
                <w:lang w:val="en-US" w:eastAsia="zh-CN"/>
              </w:rPr>
            </w:pPr>
            <w:r>
              <w:rPr>
                <w:rFonts w:hint="eastAsia"/>
                <w:sz w:val="21"/>
                <w:szCs w:val="21"/>
                <w:vertAlign w:val="baseline"/>
                <w:lang w:val="en-US" w:eastAsia="zh-CN"/>
              </w:rPr>
              <w:t>仪器组成</w:t>
            </w:r>
          </w:p>
        </w:tc>
        <w:tc>
          <w:tcPr>
            <w:tcW w:w="4334" w:type="dxa"/>
            <w:gridSpan w:val="3"/>
            <w:noWrap w:val="0"/>
            <w:vAlign w:val="top"/>
          </w:tcPr>
          <w:p w14:paraId="52CCEDAA">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应符合HJ 101—2019标准中4.1要求</w:t>
            </w:r>
          </w:p>
        </w:tc>
        <w:tc>
          <w:tcPr>
            <w:tcW w:w="883" w:type="dxa"/>
            <w:vMerge w:val="restart"/>
            <w:noWrap w:val="0"/>
            <w:vAlign w:val="center"/>
          </w:tcPr>
          <w:p w14:paraId="06AC872A">
            <w:pPr>
              <w:pStyle w:val="4"/>
              <w:ind w:left="0" w:leftChars="0" w:firstLine="210" w:firstLineChars="100"/>
              <w:jc w:val="center"/>
              <w:rPr>
                <w:rFonts w:hint="eastAsia"/>
                <w:sz w:val="21"/>
                <w:szCs w:val="21"/>
                <w:vertAlign w:val="baseline"/>
                <w:lang w:val="en-US" w:eastAsia="zh-CN"/>
              </w:rPr>
            </w:pPr>
          </w:p>
          <w:p w14:paraId="52F61EE5">
            <w:pPr>
              <w:pStyle w:val="4"/>
              <w:ind w:left="0" w:leftChars="0" w:firstLine="210" w:firstLineChars="100"/>
              <w:jc w:val="center"/>
              <w:rPr>
                <w:rFonts w:hint="eastAsia"/>
                <w:sz w:val="21"/>
                <w:szCs w:val="21"/>
                <w:vertAlign w:val="baseline"/>
                <w:lang w:val="en-US" w:eastAsia="zh-CN"/>
              </w:rPr>
            </w:pPr>
          </w:p>
          <w:p w14:paraId="03D4807A">
            <w:pPr>
              <w:pStyle w:val="4"/>
              <w:ind w:left="0" w:leftChars="0" w:firstLine="210" w:firstLineChars="100"/>
              <w:jc w:val="center"/>
              <w:rPr>
                <w:rFonts w:hint="eastAsia"/>
                <w:sz w:val="21"/>
                <w:szCs w:val="21"/>
                <w:vertAlign w:val="baseline"/>
                <w:lang w:val="en-US" w:eastAsia="zh-CN"/>
              </w:rPr>
            </w:pPr>
          </w:p>
          <w:p w14:paraId="0FF33E12">
            <w:pPr>
              <w:pStyle w:val="4"/>
              <w:ind w:left="0" w:leftChars="0" w:firstLine="210" w:firstLineChars="100"/>
              <w:jc w:val="center"/>
              <w:rPr>
                <w:rFonts w:hint="eastAsia" w:eastAsia="宋体"/>
                <w:sz w:val="21"/>
                <w:szCs w:val="21"/>
                <w:vertAlign w:val="baseline"/>
                <w:lang w:val="en-US" w:eastAsia="zh-CN"/>
              </w:rPr>
            </w:pPr>
            <w:r>
              <w:rPr>
                <w:rFonts w:hint="eastAsia"/>
                <w:sz w:val="21"/>
                <w:szCs w:val="21"/>
                <w:vertAlign w:val="baseline"/>
                <w:lang w:val="en-US" w:eastAsia="zh-CN"/>
              </w:rPr>
              <w:t>台</w:t>
            </w:r>
          </w:p>
        </w:tc>
        <w:tc>
          <w:tcPr>
            <w:tcW w:w="783" w:type="dxa"/>
            <w:vMerge w:val="restart"/>
            <w:noWrap w:val="0"/>
            <w:vAlign w:val="center"/>
          </w:tcPr>
          <w:p w14:paraId="0ABF316A">
            <w:pPr>
              <w:pStyle w:val="4"/>
              <w:ind w:left="0" w:leftChars="0" w:firstLine="210" w:firstLineChars="100"/>
              <w:jc w:val="center"/>
              <w:rPr>
                <w:rFonts w:hint="eastAsia"/>
                <w:sz w:val="21"/>
                <w:szCs w:val="21"/>
                <w:vertAlign w:val="baseline"/>
                <w:lang w:val="en-US" w:eastAsia="zh-CN"/>
              </w:rPr>
            </w:pPr>
          </w:p>
          <w:p w14:paraId="2A8CC9E3">
            <w:pPr>
              <w:pStyle w:val="4"/>
              <w:ind w:left="0" w:leftChars="0" w:firstLine="210" w:firstLineChars="100"/>
              <w:jc w:val="center"/>
              <w:rPr>
                <w:rFonts w:hint="eastAsia"/>
                <w:sz w:val="21"/>
                <w:szCs w:val="21"/>
                <w:vertAlign w:val="baseline"/>
                <w:lang w:val="en-US" w:eastAsia="zh-CN"/>
              </w:rPr>
            </w:pPr>
          </w:p>
          <w:p w14:paraId="03A254AA">
            <w:pPr>
              <w:pStyle w:val="4"/>
              <w:ind w:left="0" w:leftChars="0" w:firstLine="210" w:firstLineChars="100"/>
              <w:jc w:val="center"/>
              <w:rPr>
                <w:rFonts w:hint="eastAsia"/>
                <w:sz w:val="21"/>
                <w:szCs w:val="21"/>
                <w:vertAlign w:val="baseline"/>
                <w:lang w:val="en-US" w:eastAsia="zh-CN"/>
              </w:rPr>
            </w:pPr>
          </w:p>
          <w:p w14:paraId="5F86EFF0">
            <w:pPr>
              <w:pStyle w:val="4"/>
              <w:ind w:left="0" w:leftChars="0" w:firstLine="210" w:firstLineChars="100"/>
              <w:jc w:val="center"/>
              <w:rPr>
                <w:rFonts w:hint="eastAsia" w:eastAsia="宋体"/>
                <w:sz w:val="21"/>
                <w:szCs w:val="21"/>
                <w:vertAlign w:val="baseline"/>
                <w:lang w:val="en-US" w:eastAsia="zh-CN"/>
              </w:rPr>
            </w:pPr>
            <w:r>
              <w:rPr>
                <w:rFonts w:hint="eastAsia"/>
                <w:sz w:val="21"/>
                <w:szCs w:val="21"/>
                <w:vertAlign w:val="baseline"/>
                <w:lang w:val="en-US" w:eastAsia="zh-CN"/>
              </w:rPr>
              <w:t>1</w:t>
            </w:r>
          </w:p>
        </w:tc>
      </w:tr>
      <w:tr w14:paraId="0649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22ED2CA7">
            <w:pPr>
              <w:pStyle w:val="4"/>
              <w:rPr>
                <w:sz w:val="21"/>
                <w:szCs w:val="21"/>
                <w:vertAlign w:val="baseline"/>
              </w:rPr>
            </w:pPr>
          </w:p>
        </w:tc>
        <w:tc>
          <w:tcPr>
            <w:tcW w:w="2416" w:type="dxa"/>
            <w:gridSpan w:val="2"/>
            <w:noWrap w:val="0"/>
            <w:vAlign w:val="top"/>
          </w:tcPr>
          <w:p w14:paraId="691EF3F0">
            <w:pPr>
              <w:pStyle w:val="4"/>
              <w:jc w:val="both"/>
              <w:rPr>
                <w:rFonts w:hint="default" w:eastAsia="宋体"/>
                <w:sz w:val="21"/>
                <w:szCs w:val="21"/>
                <w:vertAlign w:val="baseline"/>
                <w:lang w:val="en-US" w:eastAsia="zh-CN"/>
              </w:rPr>
            </w:pPr>
            <w:r>
              <w:rPr>
                <w:rFonts w:hint="eastAsia"/>
                <w:sz w:val="21"/>
                <w:szCs w:val="21"/>
                <w:vertAlign w:val="baseline"/>
                <w:lang w:val="en-US" w:eastAsia="zh-CN"/>
              </w:rPr>
              <w:t>外观要求</w:t>
            </w:r>
          </w:p>
        </w:tc>
        <w:tc>
          <w:tcPr>
            <w:tcW w:w="4334" w:type="dxa"/>
            <w:gridSpan w:val="3"/>
            <w:noWrap w:val="0"/>
            <w:vAlign w:val="top"/>
          </w:tcPr>
          <w:p w14:paraId="248024C4">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应符合HJ 101—2019标准中4.3要求</w:t>
            </w:r>
          </w:p>
        </w:tc>
        <w:tc>
          <w:tcPr>
            <w:tcW w:w="883" w:type="dxa"/>
            <w:vMerge w:val="continue"/>
            <w:noWrap w:val="0"/>
            <w:vAlign w:val="top"/>
          </w:tcPr>
          <w:p w14:paraId="59360C15">
            <w:pPr>
              <w:pStyle w:val="4"/>
              <w:rPr>
                <w:sz w:val="21"/>
                <w:szCs w:val="21"/>
                <w:vertAlign w:val="baseline"/>
              </w:rPr>
            </w:pPr>
          </w:p>
        </w:tc>
        <w:tc>
          <w:tcPr>
            <w:tcW w:w="783" w:type="dxa"/>
            <w:vMerge w:val="continue"/>
            <w:noWrap w:val="0"/>
            <w:vAlign w:val="top"/>
          </w:tcPr>
          <w:p w14:paraId="3FF9B6C5">
            <w:pPr>
              <w:pStyle w:val="4"/>
              <w:rPr>
                <w:sz w:val="21"/>
                <w:szCs w:val="21"/>
                <w:vertAlign w:val="baseline"/>
              </w:rPr>
            </w:pPr>
          </w:p>
        </w:tc>
      </w:tr>
      <w:tr w14:paraId="335C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16A5D467">
            <w:pPr>
              <w:pStyle w:val="4"/>
              <w:rPr>
                <w:sz w:val="21"/>
                <w:szCs w:val="21"/>
                <w:vertAlign w:val="baseline"/>
              </w:rPr>
            </w:pPr>
          </w:p>
        </w:tc>
        <w:tc>
          <w:tcPr>
            <w:tcW w:w="2416" w:type="dxa"/>
            <w:gridSpan w:val="2"/>
            <w:noWrap w:val="0"/>
            <w:vAlign w:val="top"/>
          </w:tcPr>
          <w:p w14:paraId="5A62B9ED">
            <w:pPr>
              <w:pStyle w:val="4"/>
              <w:jc w:val="both"/>
              <w:rPr>
                <w:rFonts w:hint="default" w:eastAsia="宋体"/>
                <w:sz w:val="21"/>
                <w:szCs w:val="21"/>
                <w:vertAlign w:val="baseline"/>
                <w:lang w:val="en-US" w:eastAsia="zh-CN"/>
              </w:rPr>
            </w:pPr>
            <w:r>
              <w:rPr>
                <w:rFonts w:hint="eastAsia"/>
                <w:sz w:val="21"/>
                <w:szCs w:val="21"/>
                <w:vertAlign w:val="baseline"/>
                <w:lang w:val="en-US" w:eastAsia="zh-CN"/>
              </w:rPr>
              <w:t>性能要求</w:t>
            </w:r>
          </w:p>
        </w:tc>
        <w:tc>
          <w:tcPr>
            <w:tcW w:w="4334" w:type="dxa"/>
            <w:gridSpan w:val="3"/>
            <w:noWrap w:val="0"/>
            <w:vAlign w:val="top"/>
          </w:tcPr>
          <w:p w14:paraId="3550437B">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仪器各单元性能应符合HJ101—2019标准中4.4要求</w:t>
            </w:r>
          </w:p>
        </w:tc>
        <w:tc>
          <w:tcPr>
            <w:tcW w:w="883" w:type="dxa"/>
            <w:vMerge w:val="continue"/>
            <w:noWrap w:val="0"/>
            <w:vAlign w:val="top"/>
          </w:tcPr>
          <w:p w14:paraId="773BF500">
            <w:pPr>
              <w:pStyle w:val="4"/>
              <w:rPr>
                <w:sz w:val="21"/>
                <w:szCs w:val="21"/>
                <w:vertAlign w:val="baseline"/>
              </w:rPr>
            </w:pPr>
          </w:p>
        </w:tc>
        <w:tc>
          <w:tcPr>
            <w:tcW w:w="783" w:type="dxa"/>
            <w:vMerge w:val="continue"/>
            <w:noWrap w:val="0"/>
            <w:vAlign w:val="top"/>
          </w:tcPr>
          <w:p w14:paraId="4A41C6EF">
            <w:pPr>
              <w:pStyle w:val="4"/>
              <w:rPr>
                <w:sz w:val="21"/>
                <w:szCs w:val="21"/>
                <w:vertAlign w:val="baseline"/>
              </w:rPr>
            </w:pPr>
          </w:p>
        </w:tc>
      </w:tr>
      <w:tr w14:paraId="6793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3D0F754C">
            <w:pPr>
              <w:pStyle w:val="4"/>
              <w:rPr>
                <w:sz w:val="21"/>
                <w:szCs w:val="21"/>
                <w:vertAlign w:val="baseline"/>
              </w:rPr>
            </w:pPr>
          </w:p>
        </w:tc>
        <w:tc>
          <w:tcPr>
            <w:tcW w:w="866" w:type="dxa"/>
            <w:vMerge w:val="restart"/>
            <w:noWrap w:val="0"/>
            <w:vAlign w:val="top"/>
          </w:tcPr>
          <w:p w14:paraId="5BECB4F4">
            <w:pPr>
              <w:pStyle w:val="4"/>
              <w:ind w:left="0" w:leftChars="0" w:firstLine="0" w:firstLineChars="0"/>
              <w:jc w:val="both"/>
              <w:rPr>
                <w:rFonts w:hint="eastAsia"/>
                <w:sz w:val="21"/>
                <w:szCs w:val="21"/>
                <w:vertAlign w:val="baseline"/>
                <w:lang w:val="en-US" w:eastAsia="zh-CN"/>
              </w:rPr>
            </w:pPr>
          </w:p>
          <w:p w14:paraId="17643C30">
            <w:pPr>
              <w:pStyle w:val="4"/>
              <w:ind w:left="0" w:leftChars="0"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基本本监测范围</w:t>
            </w:r>
          </w:p>
        </w:tc>
        <w:tc>
          <w:tcPr>
            <w:tcW w:w="1550" w:type="dxa"/>
            <w:noWrap w:val="0"/>
            <w:vAlign w:val="top"/>
          </w:tcPr>
          <w:p w14:paraId="5D3F81D8">
            <w:pPr>
              <w:pStyle w:val="4"/>
              <w:ind w:left="0" w:leftChars="0" w:firstLine="0" w:firstLineChars="0"/>
              <w:jc w:val="both"/>
              <w:rPr>
                <w:rFonts w:hint="eastAsia" w:eastAsia="宋体"/>
                <w:sz w:val="21"/>
                <w:szCs w:val="21"/>
                <w:vertAlign w:val="baseline"/>
                <w:lang w:val="en-US" w:eastAsia="zh-CN"/>
              </w:rPr>
            </w:pPr>
            <w:r>
              <w:rPr>
                <w:rFonts w:hint="eastAsia"/>
                <w:sz w:val="21"/>
                <w:szCs w:val="21"/>
                <w:vertAlign w:val="baseline"/>
                <w:lang w:val="en-US" w:eastAsia="zh-CN"/>
              </w:rPr>
              <w:t>重复性</w:t>
            </w:r>
          </w:p>
        </w:tc>
        <w:tc>
          <w:tcPr>
            <w:tcW w:w="4334" w:type="dxa"/>
            <w:gridSpan w:val="3"/>
            <w:noWrap w:val="0"/>
            <w:vAlign w:val="top"/>
          </w:tcPr>
          <w:p w14:paraId="6CCABB4F">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≤1%</w:t>
            </w:r>
          </w:p>
        </w:tc>
        <w:tc>
          <w:tcPr>
            <w:tcW w:w="883" w:type="dxa"/>
            <w:vMerge w:val="continue"/>
            <w:noWrap w:val="0"/>
            <w:vAlign w:val="top"/>
          </w:tcPr>
          <w:p w14:paraId="2BE8C819">
            <w:pPr>
              <w:pStyle w:val="4"/>
              <w:rPr>
                <w:sz w:val="21"/>
                <w:szCs w:val="21"/>
                <w:vertAlign w:val="baseline"/>
              </w:rPr>
            </w:pPr>
          </w:p>
        </w:tc>
        <w:tc>
          <w:tcPr>
            <w:tcW w:w="783" w:type="dxa"/>
            <w:vMerge w:val="continue"/>
            <w:noWrap w:val="0"/>
            <w:vAlign w:val="top"/>
          </w:tcPr>
          <w:p w14:paraId="16E15E5E">
            <w:pPr>
              <w:pStyle w:val="4"/>
              <w:rPr>
                <w:sz w:val="21"/>
                <w:szCs w:val="21"/>
                <w:vertAlign w:val="baseline"/>
              </w:rPr>
            </w:pPr>
          </w:p>
        </w:tc>
      </w:tr>
      <w:tr w14:paraId="74EE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562E4D1A">
            <w:pPr>
              <w:pStyle w:val="4"/>
              <w:rPr>
                <w:sz w:val="21"/>
                <w:szCs w:val="21"/>
                <w:vertAlign w:val="baseline"/>
              </w:rPr>
            </w:pPr>
          </w:p>
        </w:tc>
        <w:tc>
          <w:tcPr>
            <w:tcW w:w="866" w:type="dxa"/>
            <w:vMerge w:val="continue"/>
            <w:noWrap w:val="0"/>
            <w:vAlign w:val="top"/>
          </w:tcPr>
          <w:p w14:paraId="5DBD40A2">
            <w:pPr>
              <w:pStyle w:val="4"/>
              <w:jc w:val="both"/>
              <w:rPr>
                <w:sz w:val="21"/>
                <w:szCs w:val="21"/>
                <w:vertAlign w:val="baseline"/>
              </w:rPr>
            </w:pPr>
          </w:p>
        </w:tc>
        <w:tc>
          <w:tcPr>
            <w:tcW w:w="1550" w:type="dxa"/>
            <w:noWrap w:val="0"/>
            <w:vAlign w:val="top"/>
          </w:tcPr>
          <w:p w14:paraId="197A130A">
            <w:pPr>
              <w:pStyle w:val="4"/>
              <w:ind w:left="0" w:leftChars="0" w:firstLine="0" w:firstLineChars="0"/>
              <w:jc w:val="both"/>
              <w:rPr>
                <w:rFonts w:hint="default" w:ascii="宋体" w:hAnsi="Times New Roman" w:eastAsia="宋体" w:cs="Times New Roman"/>
                <w:sz w:val="21"/>
                <w:szCs w:val="21"/>
                <w:vertAlign w:val="baseline"/>
                <w:lang w:val="en-US" w:eastAsia="zh-CN"/>
              </w:rPr>
            </w:pPr>
            <w:r>
              <w:rPr>
                <w:rFonts w:hint="eastAsia" w:ascii="宋体" w:hAnsi="Times New Roman" w:eastAsia="宋体" w:cs="Times New Roman"/>
                <w:sz w:val="21"/>
                <w:szCs w:val="21"/>
                <w:vertAlign w:val="baseline"/>
                <w:lang w:val="en-US" w:eastAsia="zh-CN"/>
              </w:rPr>
              <w:t>24h低浓度漂移</w:t>
            </w:r>
          </w:p>
        </w:tc>
        <w:tc>
          <w:tcPr>
            <w:tcW w:w="4334" w:type="dxa"/>
            <w:gridSpan w:val="3"/>
            <w:noWrap w:val="0"/>
            <w:vAlign w:val="top"/>
          </w:tcPr>
          <w:p w14:paraId="37D7D598">
            <w:pPr>
              <w:pStyle w:val="4"/>
              <w:ind w:left="0" w:leftChars="0" w:firstLine="0" w:firstLineChars="0"/>
              <w:jc w:val="both"/>
              <w:rPr>
                <w:rFonts w:hint="default" w:ascii="宋体" w:hAnsi="Times New Roman" w:eastAsia="宋体" w:cs="Times New Roman"/>
                <w:sz w:val="21"/>
                <w:szCs w:val="21"/>
                <w:vertAlign w:val="baseline"/>
                <w:lang w:val="en-US" w:eastAsia="zh-CN"/>
              </w:rPr>
            </w:pPr>
            <w:r>
              <w:rPr>
                <w:rFonts w:hint="eastAsia" w:ascii="宋体" w:hAnsi="Times New Roman" w:eastAsia="宋体" w:cs="Times New Roman"/>
                <w:sz w:val="21"/>
                <w:szCs w:val="21"/>
                <w:vertAlign w:val="baseline"/>
                <w:lang w:val="en-US" w:eastAsia="zh-CN"/>
              </w:rPr>
              <w:t>≤0.01mg/L</w:t>
            </w:r>
          </w:p>
        </w:tc>
        <w:tc>
          <w:tcPr>
            <w:tcW w:w="883" w:type="dxa"/>
            <w:vMerge w:val="continue"/>
            <w:noWrap w:val="0"/>
            <w:vAlign w:val="top"/>
          </w:tcPr>
          <w:p w14:paraId="5C999E83">
            <w:pPr>
              <w:pStyle w:val="4"/>
              <w:rPr>
                <w:sz w:val="21"/>
                <w:szCs w:val="21"/>
                <w:vertAlign w:val="baseline"/>
              </w:rPr>
            </w:pPr>
          </w:p>
        </w:tc>
        <w:tc>
          <w:tcPr>
            <w:tcW w:w="783" w:type="dxa"/>
            <w:vMerge w:val="continue"/>
            <w:noWrap w:val="0"/>
            <w:vAlign w:val="top"/>
          </w:tcPr>
          <w:p w14:paraId="74215BE2">
            <w:pPr>
              <w:pStyle w:val="4"/>
              <w:rPr>
                <w:sz w:val="21"/>
                <w:szCs w:val="21"/>
                <w:vertAlign w:val="baseline"/>
              </w:rPr>
            </w:pPr>
          </w:p>
        </w:tc>
      </w:tr>
      <w:tr w14:paraId="2154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0ADF7068">
            <w:pPr>
              <w:pStyle w:val="4"/>
              <w:rPr>
                <w:sz w:val="21"/>
                <w:szCs w:val="21"/>
                <w:vertAlign w:val="baseline"/>
              </w:rPr>
            </w:pPr>
          </w:p>
        </w:tc>
        <w:tc>
          <w:tcPr>
            <w:tcW w:w="866" w:type="dxa"/>
            <w:vMerge w:val="continue"/>
            <w:noWrap w:val="0"/>
            <w:vAlign w:val="top"/>
          </w:tcPr>
          <w:p w14:paraId="6485DD14">
            <w:pPr>
              <w:pStyle w:val="4"/>
              <w:jc w:val="both"/>
              <w:rPr>
                <w:sz w:val="21"/>
                <w:szCs w:val="21"/>
                <w:vertAlign w:val="baseline"/>
              </w:rPr>
            </w:pPr>
          </w:p>
        </w:tc>
        <w:tc>
          <w:tcPr>
            <w:tcW w:w="1550" w:type="dxa"/>
            <w:noWrap w:val="0"/>
            <w:vAlign w:val="top"/>
          </w:tcPr>
          <w:p w14:paraId="2172E08D">
            <w:pPr>
              <w:pStyle w:val="4"/>
              <w:ind w:left="0" w:leftChars="0" w:firstLine="0" w:firstLineChars="0"/>
              <w:jc w:val="both"/>
              <w:rPr>
                <w:rFonts w:hint="default" w:ascii="宋体" w:hAnsi="Times New Roman" w:eastAsia="宋体" w:cs="Times New Roman"/>
                <w:sz w:val="21"/>
                <w:szCs w:val="21"/>
                <w:vertAlign w:val="baseline"/>
                <w:lang w:val="en-US" w:eastAsia="zh-CN"/>
              </w:rPr>
            </w:pPr>
            <w:r>
              <w:rPr>
                <w:rFonts w:hint="eastAsia" w:ascii="宋体" w:hAnsi="Times New Roman" w:eastAsia="宋体" w:cs="Times New Roman"/>
                <w:sz w:val="21"/>
                <w:szCs w:val="21"/>
                <w:vertAlign w:val="baseline"/>
                <w:lang w:val="en-US" w:eastAsia="zh-CN"/>
              </w:rPr>
              <w:t>24h高浓度漂移</w:t>
            </w:r>
          </w:p>
        </w:tc>
        <w:tc>
          <w:tcPr>
            <w:tcW w:w="4334" w:type="dxa"/>
            <w:gridSpan w:val="3"/>
            <w:noWrap w:val="0"/>
            <w:vAlign w:val="top"/>
          </w:tcPr>
          <w:p w14:paraId="48498027">
            <w:pPr>
              <w:pStyle w:val="4"/>
              <w:ind w:left="0" w:leftChars="0" w:firstLine="0" w:firstLineChars="0"/>
              <w:jc w:val="both"/>
              <w:rPr>
                <w:rFonts w:hint="default" w:ascii="宋体" w:hAnsi="Times New Roman" w:eastAsia="宋体" w:cs="Times New Roman"/>
                <w:sz w:val="21"/>
                <w:szCs w:val="21"/>
                <w:vertAlign w:val="baseline"/>
                <w:lang w:val="en-US" w:eastAsia="zh-CN"/>
              </w:rPr>
            </w:pPr>
            <w:r>
              <w:rPr>
                <w:rFonts w:hint="eastAsia" w:ascii="宋体" w:hAnsi="Times New Roman" w:eastAsia="宋体" w:cs="Times New Roman"/>
                <w:sz w:val="21"/>
                <w:szCs w:val="21"/>
                <w:vertAlign w:val="baseline"/>
                <w:lang w:val="en-US" w:eastAsia="zh-CN"/>
              </w:rPr>
              <w:t>≤0.5%</w:t>
            </w:r>
          </w:p>
        </w:tc>
        <w:tc>
          <w:tcPr>
            <w:tcW w:w="883" w:type="dxa"/>
            <w:vMerge w:val="continue"/>
            <w:noWrap w:val="0"/>
            <w:vAlign w:val="top"/>
          </w:tcPr>
          <w:p w14:paraId="3211AB8D">
            <w:pPr>
              <w:pStyle w:val="4"/>
              <w:rPr>
                <w:sz w:val="21"/>
                <w:szCs w:val="21"/>
                <w:vertAlign w:val="baseline"/>
              </w:rPr>
            </w:pPr>
          </w:p>
        </w:tc>
        <w:tc>
          <w:tcPr>
            <w:tcW w:w="783" w:type="dxa"/>
            <w:vMerge w:val="continue"/>
            <w:noWrap w:val="0"/>
            <w:vAlign w:val="top"/>
          </w:tcPr>
          <w:p w14:paraId="61FBC998">
            <w:pPr>
              <w:pStyle w:val="4"/>
              <w:rPr>
                <w:sz w:val="21"/>
                <w:szCs w:val="21"/>
                <w:vertAlign w:val="baseline"/>
              </w:rPr>
            </w:pPr>
          </w:p>
        </w:tc>
      </w:tr>
      <w:tr w14:paraId="5C09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0145F580">
            <w:pPr>
              <w:pStyle w:val="4"/>
              <w:rPr>
                <w:sz w:val="21"/>
                <w:szCs w:val="21"/>
                <w:vertAlign w:val="baseline"/>
              </w:rPr>
            </w:pPr>
          </w:p>
        </w:tc>
        <w:tc>
          <w:tcPr>
            <w:tcW w:w="866" w:type="dxa"/>
            <w:vMerge w:val="continue"/>
            <w:noWrap w:val="0"/>
            <w:vAlign w:val="top"/>
          </w:tcPr>
          <w:p w14:paraId="1985A81A">
            <w:pPr>
              <w:pStyle w:val="4"/>
              <w:ind w:firstLine="420" w:firstLineChars="0"/>
              <w:jc w:val="both"/>
              <w:rPr>
                <w:rFonts w:ascii="宋体" w:hAnsi="Times New Roman" w:eastAsia="宋体" w:cs="Times New Roman"/>
                <w:kern w:val="0"/>
                <w:sz w:val="21"/>
                <w:szCs w:val="21"/>
                <w:vertAlign w:val="baseline"/>
                <w:lang w:val="en-US" w:eastAsia="zh-CN" w:bidi="ar-SA"/>
              </w:rPr>
            </w:pPr>
          </w:p>
        </w:tc>
        <w:tc>
          <w:tcPr>
            <w:tcW w:w="1550" w:type="dxa"/>
            <w:vMerge w:val="restart"/>
            <w:noWrap w:val="0"/>
            <w:vAlign w:val="top"/>
          </w:tcPr>
          <w:p w14:paraId="7EAED1F6">
            <w:pPr>
              <w:pStyle w:val="4"/>
              <w:ind w:left="0" w:leftChars="0" w:firstLine="0" w:firstLineChars="0"/>
              <w:jc w:val="both"/>
              <w:rPr>
                <w:rFonts w:hint="eastAsia"/>
                <w:sz w:val="21"/>
                <w:szCs w:val="21"/>
                <w:vertAlign w:val="baseline"/>
                <w:lang w:val="en-US" w:eastAsia="zh-CN"/>
              </w:rPr>
            </w:pPr>
          </w:p>
          <w:p w14:paraId="354F158D">
            <w:pPr>
              <w:pStyle w:val="4"/>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示值误差</w:t>
            </w:r>
          </w:p>
        </w:tc>
        <w:tc>
          <w:tcPr>
            <w:tcW w:w="1382" w:type="dxa"/>
            <w:noWrap w:val="0"/>
            <w:vAlign w:val="top"/>
          </w:tcPr>
          <w:p w14:paraId="2546F59F">
            <w:pPr>
              <w:pStyle w:val="4"/>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20%</w:t>
            </w:r>
          </w:p>
        </w:tc>
        <w:tc>
          <w:tcPr>
            <w:tcW w:w="2952" w:type="dxa"/>
            <w:gridSpan w:val="2"/>
            <w:noWrap w:val="0"/>
            <w:vAlign w:val="top"/>
          </w:tcPr>
          <w:p w14:paraId="418C1740">
            <w:pPr>
              <w:pStyle w:val="4"/>
              <w:ind w:left="0" w:leftChars="0" w:firstLine="0" w:firstLineChars="0"/>
              <w:rPr>
                <w:sz w:val="21"/>
                <w:szCs w:val="21"/>
                <w:vertAlign w:val="baseline"/>
              </w:rPr>
            </w:pPr>
            <w:r>
              <w:rPr>
                <w:rFonts w:hint="eastAsia"/>
                <w:sz w:val="21"/>
                <w:szCs w:val="21"/>
                <w:vertAlign w:val="baseline"/>
                <w:lang w:val="en-US" w:eastAsia="zh-CN"/>
              </w:rPr>
              <w:t>±3%</w:t>
            </w:r>
          </w:p>
        </w:tc>
        <w:tc>
          <w:tcPr>
            <w:tcW w:w="883" w:type="dxa"/>
            <w:vMerge w:val="continue"/>
            <w:noWrap w:val="0"/>
            <w:vAlign w:val="top"/>
          </w:tcPr>
          <w:p w14:paraId="7927493C">
            <w:pPr>
              <w:pStyle w:val="4"/>
              <w:rPr>
                <w:sz w:val="21"/>
                <w:szCs w:val="21"/>
                <w:vertAlign w:val="baseline"/>
              </w:rPr>
            </w:pPr>
          </w:p>
        </w:tc>
        <w:tc>
          <w:tcPr>
            <w:tcW w:w="783" w:type="dxa"/>
            <w:vMerge w:val="continue"/>
            <w:noWrap w:val="0"/>
            <w:vAlign w:val="top"/>
          </w:tcPr>
          <w:p w14:paraId="0015D07D">
            <w:pPr>
              <w:pStyle w:val="4"/>
              <w:rPr>
                <w:sz w:val="21"/>
                <w:szCs w:val="21"/>
                <w:vertAlign w:val="baseline"/>
              </w:rPr>
            </w:pPr>
          </w:p>
        </w:tc>
      </w:tr>
      <w:tr w14:paraId="6D3B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58A47643">
            <w:pPr>
              <w:pStyle w:val="4"/>
              <w:rPr>
                <w:sz w:val="21"/>
                <w:szCs w:val="21"/>
                <w:vertAlign w:val="baseline"/>
              </w:rPr>
            </w:pPr>
          </w:p>
        </w:tc>
        <w:tc>
          <w:tcPr>
            <w:tcW w:w="866" w:type="dxa"/>
            <w:vMerge w:val="continue"/>
            <w:noWrap w:val="0"/>
            <w:vAlign w:val="top"/>
          </w:tcPr>
          <w:p w14:paraId="70FA1376">
            <w:pPr>
              <w:pStyle w:val="4"/>
              <w:jc w:val="both"/>
              <w:rPr>
                <w:sz w:val="21"/>
                <w:szCs w:val="21"/>
                <w:vertAlign w:val="baseline"/>
              </w:rPr>
            </w:pPr>
          </w:p>
        </w:tc>
        <w:tc>
          <w:tcPr>
            <w:tcW w:w="1550" w:type="dxa"/>
            <w:vMerge w:val="continue"/>
            <w:noWrap w:val="0"/>
            <w:vAlign w:val="top"/>
          </w:tcPr>
          <w:p w14:paraId="30AEEDA7">
            <w:pPr>
              <w:pStyle w:val="4"/>
              <w:jc w:val="both"/>
              <w:rPr>
                <w:sz w:val="21"/>
                <w:szCs w:val="21"/>
                <w:vertAlign w:val="baseline"/>
              </w:rPr>
            </w:pPr>
          </w:p>
        </w:tc>
        <w:tc>
          <w:tcPr>
            <w:tcW w:w="1382" w:type="dxa"/>
            <w:noWrap w:val="0"/>
            <w:vAlign w:val="top"/>
          </w:tcPr>
          <w:p w14:paraId="4B5ABABE">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50%</w:t>
            </w:r>
          </w:p>
        </w:tc>
        <w:tc>
          <w:tcPr>
            <w:tcW w:w="2952" w:type="dxa"/>
            <w:gridSpan w:val="2"/>
            <w:noWrap w:val="0"/>
            <w:vAlign w:val="top"/>
          </w:tcPr>
          <w:p w14:paraId="510A2674">
            <w:pPr>
              <w:pStyle w:val="4"/>
              <w:ind w:left="0" w:leftChars="0" w:firstLine="0" w:firstLineChars="0"/>
              <w:rPr>
                <w:sz w:val="21"/>
                <w:szCs w:val="21"/>
                <w:vertAlign w:val="baseline"/>
              </w:rPr>
            </w:pPr>
            <w:r>
              <w:rPr>
                <w:rFonts w:hint="eastAsia"/>
                <w:sz w:val="21"/>
                <w:szCs w:val="21"/>
                <w:vertAlign w:val="baseline"/>
                <w:lang w:val="en-US" w:eastAsia="zh-CN"/>
              </w:rPr>
              <w:t>±1%</w:t>
            </w:r>
          </w:p>
        </w:tc>
        <w:tc>
          <w:tcPr>
            <w:tcW w:w="883" w:type="dxa"/>
            <w:vMerge w:val="continue"/>
            <w:noWrap w:val="0"/>
            <w:vAlign w:val="top"/>
          </w:tcPr>
          <w:p w14:paraId="1F9E5A1B">
            <w:pPr>
              <w:pStyle w:val="4"/>
              <w:rPr>
                <w:sz w:val="21"/>
                <w:szCs w:val="21"/>
                <w:vertAlign w:val="baseline"/>
              </w:rPr>
            </w:pPr>
          </w:p>
        </w:tc>
        <w:tc>
          <w:tcPr>
            <w:tcW w:w="783" w:type="dxa"/>
            <w:vMerge w:val="continue"/>
            <w:noWrap w:val="0"/>
            <w:vAlign w:val="top"/>
          </w:tcPr>
          <w:p w14:paraId="68074579">
            <w:pPr>
              <w:pStyle w:val="4"/>
              <w:rPr>
                <w:sz w:val="21"/>
                <w:szCs w:val="21"/>
                <w:vertAlign w:val="baseline"/>
              </w:rPr>
            </w:pPr>
          </w:p>
        </w:tc>
      </w:tr>
      <w:tr w14:paraId="1BA4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2F4A1FD6">
            <w:pPr>
              <w:pStyle w:val="4"/>
              <w:rPr>
                <w:sz w:val="21"/>
                <w:szCs w:val="21"/>
                <w:vertAlign w:val="baseline"/>
              </w:rPr>
            </w:pPr>
          </w:p>
        </w:tc>
        <w:tc>
          <w:tcPr>
            <w:tcW w:w="866" w:type="dxa"/>
            <w:vMerge w:val="continue"/>
            <w:noWrap w:val="0"/>
            <w:vAlign w:val="top"/>
          </w:tcPr>
          <w:p w14:paraId="005C063C">
            <w:pPr>
              <w:pStyle w:val="4"/>
              <w:jc w:val="both"/>
              <w:rPr>
                <w:sz w:val="21"/>
                <w:szCs w:val="21"/>
                <w:vertAlign w:val="baseline"/>
              </w:rPr>
            </w:pPr>
          </w:p>
        </w:tc>
        <w:tc>
          <w:tcPr>
            <w:tcW w:w="1550" w:type="dxa"/>
            <w:vMerge w:val="continue"/>
            <w:noWrap w:val="0"/>
            <w:vAlign w:val="top"/>
          </w:tcPr>
          <w:p w14:paraId="22AED6A8">
            <w:pPr>
              <w:pStyle w:val="4"/>
              <w:jc w:val="both"/>
              <w:rPr>
                <w:sz w:val="21"/>
                <w:szCs w:val="21"/>
                <w:vertAlign w:val="baseline"/>
              </w:rPr>
            </w:pPr>
          </w:p>
        </w:tc>
        <w:tc>
          <w:tcPr>
            <w:tcW w:w="1382" w:type="dxa"/>
            <w:noWrap w:val="0"/>
            <w:vAlign w:val="top"/>
          </w:tcPr>
          <w:p w14:paraId="6EC9A3F4">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80%</w:t>
            </w:r>
          </w:p>
        </w:tc>
        <w:tc>
          <w:tcPr>
            <w:tcW w:w="2952" w:type="dxa"/>
            <w:gridSpan w:val="2"/>
            <w:noWrap w:val="0"/>
            <w:vAlign w:val="top"/>
          </w:tcPr>
          <w:p w14:paraId="780C5A31">
            <w:pPr>
              <w:pStyle w:val="4"/>
              <w:ind w:left="0" w:leftChars="0" w:firstLine="0" w:firstLineChars="0"/>
              <w:rPr>
                <w:sz w:val="21"/>
                <w:szCs w:val="21"/>
                <w:vertAlign w:val="baseline"/>
              </w:rPr>
            </w:pPr>
            <w:r>
              <w:rPr>
                <w:rFonts w:hint="eastAsia"/>
                <w:sz w:val="21"/>
                <w:szCs w:val="21"/>
                <w:vertAlign w:val="baseline"/>
                <w:lang w:val="en-US" w:eastAsia="zh-CN"/>
              </w:rPr>
              <w:t>±2%</w:t>
            </w:r>
          </w:p>
        </w:tc>
        <w:tc>
          <w:tcPr>
            <w:tcW w:w="883" w:type="dxa"/>
            <w:vMerge w:val="continue"/>
            <w:noWrap w:val="0"/>
            <w:vAlign w:val="top"/>
          </w:tcPr>
          <w:p w14:paraId="07A040E5">
            <w:pPr>
              <w:pStyle w:val="4"/>
              <w:rPr>
                <w:sz w:val="21"/>
                <w:szCs w:val="21"/>
                <w:vertAlign w:val="baseline"/>
              </w:rPr>
            </w:pPr>
          </w:p>
        </w:tc>
        <w:tc>
          <w:tcPr>
            <w:tcW w:w="783" w:type="dxa"/>
            <w:vMerge w:val="continue"/>
            <w:noWrap w:val="0"/>
            <w:vAlign w:val="top"/>
          </w:tcPr>
          <w:p w14:paraId="782B4302">
            <w:pPr>
              <w:pStyle w:val="4"/>
              <w:rPr>
                <w:sz w:val="21"/>
                <w:szCs w:val="21"/>
                <w:vertAlign w:val="baseline"/>
              </w:rPr>
            </w:pPr>
          </w:p>
        </w:tc>
      </w:tr>
      <w:tr w14:paraId="476A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3A02C232">
            <w:pPr>
              <w:pStyle w:val="4"/>
              <w:rPr>
                <w:sz w:val="21"/>
                <w:szCs w:val="21"/>
                <w:vertAlign w:val="baseline"/>
              </w:rPr>
            </w:pPr>
          </w:p>
        </w:tc>
        <w:tc>
          <w:tcPr>
            <w:tcW w:w="866" w:type="dxa"/>
            <w:vMerge w:val="continue"/>
            <w:noWrap w:val="0"/>
            <w:vAlign w:val="top"/>
          </w:tcPr>
          <w:p w14:paraId="125CC434">
            <w:pPr>
              <w:pStyle w:val="4"/>
              <w:jc w:val="both"/>
              <w:rPr>
                <w:sz w:val="21"/>
                <w:szCs w:val="21"/>
                <w:vertAlign w:val="baseline"/>
              </w:rPr>
            </w:pPr>
          </w:p>
        </w:tc>
        <w:tc>
          <w:tcPr>
            <w:tcW w:w="1550" w:type="dxa"/>
            <w:noWrap w:val="0"/>
            <w:vAlign w:val="top"/>
          </w:tcPr>
          <w:p w14:paraId="48F9EA17">
            <w:pPr>
              <w:pStyle w:val="4"/>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定量下限</w:t>
            </w:r>
          </w:p>
        </w:tc>
        <w:tc>
          <w:tcPr>
            <w:tcW w:w="4334" w:type="dxa"/>
            <w:gridSpan w:val="3"/>
            <w:noWrap w:val="0"/>
            <w:vAlign w:val="top"/>
          </w:tcPr>
          <w:p w14:paraId="21737B11">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≤0.15mg/L(示值误差±30%)</w:t>
            </w:r>
          </w:p>
        </w:tc>
        <w:tc>
          <w:tcPr>
            <w:tcW w:w="883" w:type="dxa"/>
            <w:vMerge w:val="continue"/>
            <w:noWrap w:val="0"/>
            <w:vAlign w:val="top"/>
          </w:tcPr>
          <w:p w14:paraId="294F8A45">
            <w:pPr>
              <w:pStyle w:val="4"/>
              <w:rPr>
                <w:sz w:val="21"/>
                <w:szCs w:val="21"/>
                <w:vertAlign w:val="baseline"/>
              </w:rPr>
            </w:pPr>
          </w:p>
        </w:tc>
        <w:tc>
          <w:tcPr>
            <w:tcW w:w="783" w:type="dxa"/>
            <w:vMerge w:val="continue"/>
            <w:noWrap w:val="0"/>
            <w:vAlign w:val="top"/>
          </w:tcPr>
          <w:p w14:paraId="5ABFD68A">
            <w:pPr>
              <w:pStyle w:val="4"/>
              <w:rPr>
                <w:sz w:val="21"/>
                <w:szCs w:val="21"/>
                <w:vertAlign w:val="baseline"/>
              </w:rPr>
            </w:pPr>
          </w:p>
        </w:tc>
      </w:tr>
      <w:tr w14:paraId="2CC6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7EB1D142">
            <w:pPr>
              <w:pStyle w:val="4"/>
              <w:rPr>
                <w:sz w:val="21"/>
                <w:szCs w:val="21"/>
                <w:vertAlign w:val="baseline"/>
              </w:rPr>
            </w:pPr>
          </w:p>
        </w:tc>
        <w:tc>
          <w:tcPr>
            <w:tcW w:w="866" w:type="dxa"/>
            <w:vMerge w:val="continue"/>
            <w:noWrap w:val="0"/>
            <w:vAlign w:val="top"/>
          </w:tcPr>
          <w:p w14:paraId="30EA6E7B">
            <w:pPr>
              <w:pStyle w:val="4"/>
              <w:jc w:val="both"/>
              <w:rPr>
                <w:sz w:val="21"/>
                <w:szCs w:val="21"/>
                <w:vertAlign w:val="baseline"/>
              </w:rPr>
            </w:pPr>
          </w:p>
        </w:tc>
        <w:tc>
          <w:tcPr>
            <w:tcW w:w="1550" w:type="dxa"/>
            <w:vMerge w:val="restart"/>
            <w:noWrap w:val="0"/>
            <w:vAlign w:val="top"/>
          </w:tcPr>
          <w:p w14:paraId="3164D0CF">
            <w:pPr>
              <w:pStyle w:val="4"/>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记忆效应</w:t>
            </w:r>
          </w:p>
        </w:tc>
        <w:tc>
          <w:tcPr>
            <w:tcW w:w="1771" w:type="dxa"/>
            <w:gridSpan w:val="2"/>
            <w:noWrap w:val="0"/>
            <w:vAlign w:val="top"/>
          </w:tcPr>
          <w:p w14:paraId="1F3D0C14">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80%→20%</w:t>
            </w:r>
          </w:p>
        </w:tc>
        <w:tc>
          <w:tcPr>
            <w:tcW w:w="2563" w:type="dxa"/>
            <w:noWrap w:val="0"/>
            <w:vAlign w:val="top"/>
          </w:tcPr>
          <w:p w14:paraId="698AE937">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±0.01mg/L</w:t>
            </w:r>
          </w:p>
        </w:tc>
        <w:tc>
          <w:tcPr>
            <w:tcW w:w="883" w:type="dxa"/>
            <w:vMerge w:val="continue"/>
            <w:noWrap w:val="0"/>
            <w:vAlign w:val="top"/>
          </w:tcPr>
          <w:p w14:paraId="22FADE48">
            <w:pPr>
              <w:pStyle w:val="4"/>
              <w:rPr>
                <w:sz w:val="21"/>
                <w:szCs w:val="21"/>
                <w:vertAlign w:val="baseline"/>
              </w:rPr>
            </w:pPr>
          </w:p>
        </w:tc>
        <w:tc>
          <w:tcPr>
            <w:tcW w:w="783" w:type="dxa"/>
            <w:vMerge w:val="continue"/>
            <w:noWrap w:val="0"/>
            <w:vAlign w:val="top"/>
          </w:tcPr>
          <w:p w14:paraId="394EE3E2">
            <w:pPr>
              <w:pStyle w:val="4"/>
              <w:rPr>
                <w:sz w:val="21"/>
                <w:szCs w:val="21"/>
                <w:vertAlign w:val="baseline"/>
              </w:rPr>
            </w:pPr>
          </w:p>
        </w:tc>
      </w:tr>
      <w:tr w14:paraId="1B11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513A3A0D">
            <w:pPr>
              <w:pStyle w:val="4"/>
              <w:rPr>
                <w:sz w:val="21"/>
                <w:szCs w:val="21"/>
                <w:vertAlign w:val="baseline"/>
              </w:rPr>
            </w:pPr>
          </w:p>
        </w:tc>
        <w:tc>
          <w:tcPr>
            <w:tcW w:w="866" w:type="dxa"/>
            <w:vMerge w:val="continue"/>
            <w:noWrap w:val="0"/>
            <w:vAlign w:val="top"/>
          </w:tcPr>
          <w:p w14:paraId="657E78B0">
            <w:pPr>
              <w:pStyle w:val="4"/>
              <w:jc w:val="both"/>
              <w:rPr>
                <w:sz w:val="21"/>
                <w:szCs w:val="21"/>
                <w:vertAlign w:val="baseline"/>
              </w:rPr>
            </w:pPr>
          </w:p>
        </w:tc>
        <w:tc>
          <w:tcPr>
            <w:tcW w:w="1550" w:type="dxa"/>
            <w:vMerge w:val="continue"/>
            <w:noWrap w:val="0"/>
            <w:vAlign w:val="top"/>
          </w:tcPr>
          <w:p w14:paraId="69275492">
            <w:pPr>
              <w:pStyle w:val="4"/>
              <w:jc w:val="both"/>
              <w:rPr>
                <w:sz w:val="21"/>
                <w:szCs w:val="21"/>
                <w:vertAlign w:val="baseline"/>
              </w:rPr>
            </w:pPr>
          </w:p>
        </w:tc>
        <w:tc>
          <w:tcPr>
            <w:tcW w:w="1771" w:type="dxa"/>
            <w:gridSpan w:val="2"/>
            <w:noWrap w:val="0"/>
            <w:vAlign w:val="top"/>
          </w:tcPr>
          <w:p w14:paraId="6E559727">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20%→80%</w:t>
            </w:r>
          </w:p>
        </w:tc>
        <w:tc>
          <w:tcPr>
            <w:tcW w:w="2563" w:type="dxa"/>
            <w:noWrap w:val="0"/>
            <w:vAlign w:val="top"/>
          </w:tcPr>
          <w:p w14:paraId="7F7EDDB1">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±0.1mg/L</w:t>
            </w:r>
          </w:p>
        </w:tc>
        <w:tc>
          <w:tcPr>
            <w:tcW w:w="883" w:type="dxa"/>
            <w:vMerge w:val="continue"/>
            <w:noWrap w:val="0"/>
            <w:vAlign w:val="top"/>
          </w:tcPr>
          <w:p w14:paraId="274C2279">
            <w:pPr>
              <w:pStyle w:val="4"/>
              <w:rPr>
                <w:sz w:val="21"/>
                <w:szCs w:val="21"/>
                <w:vertAlign w:val="baseline"/>
              </w:rPr>
            </w:pPr>
          </w:p>
        </w:tc>
        <w:tc>
          <w:tcPr>
            <w:tcW w:w="783" w:type="dxa"/>
            <w:vMerge w:val="continue"/>
            <w:noWrap w:val="0"/>
            <w:vAlign w:val="top"/>
          </w:tcPr>
          <w:p w14:paraId="5C217C66">
            <w:pPr>
              <w:pStyle w:val="4"/>
              <w:rPr>
                <w:sz w:val="21"/>
                <w:szCs w:val="21"/>
                <w:vertAlign w:val="baseline"/>
              </w:rPr>
            </w:pPr>
          </w:p>
        </w:tc>
      </w:tr>
      <w:tr w14:paraId="3541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07152F23">
            <w:pPr>
              <w:pStyle w:val="4"/>
              <w:rPr>
                <w:rFonts w:hint="default" w:eastAsia="宋体"/>
                <w:sz w:val="21"/>
                <w:szCs w:val="21"/>
                <w:vertAlign w:val="baseline"/>
                <w:lang w:val="en-US" w:eastAsia="zh-CN"/>
              </w:rPr>
            </w:pPr>
          </w:p>
        </w:tc>
        <w:tc>
          <w:tcPr>
            <w:tcW w:w="2416" w:type="dxa"/>
            <w:gridSpan w:val="2"/>
            <w:noWrap w:val="0"/>
            <w:vAlign w:val="top"/>
          </w:tcPr>
          <w:p w14:paraId="343404EC">
            <w:pPr>
              <w:pStyle w:val="4"/>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单点标定功能</w:t>
            </w:r>
          </w:p>
        </w:tc>
        <w:tc>
          <w:tcPr>
            <w:tcW w:w="4334" w:type="dxa"/>
            <w:gridSpan w:val="3"/>
            <w:noWrap w:val="0"/>
            <w:vAlign w:val="top"/>
          </w:tcPr>
          <w:p w14:paraId="12D71B6E">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标定误差：0.15mg/L</w:t>
            </w:r>
          </w:p>
        </w:tc>
        <w:tc>
          <w:tcPr>
            <w:tcW w:w="883" w:type="dxa"/>
            <w:vMerge w:val="continue"/>
            <w:noWrap w:val="0"/>
            <w:vAlign w:val="top"/>
          </w:tcPr>
          <w:p w14:paraId="4852A815">
            <w:pPr>
              <w:pStyle w:val="4"/>
              <w:rPr>
                <w:sz w:val="21"/>
                <w:szCs w:val="21"/>
                <w:vertAlign w:val="baseline"/>
              </w:rPr>
            </w:pPr>
          </w:p>
        </w:tc>
        <w:tc>
          <w:tcPr>
            <w:tcW w:w="783" w:type="dxa"/>
            <w:vMerge w:val="continue"/>
            <w:noWrap w:val="0"/>
            <w:vAlign w:val="top"/>
          </w:tcPr>
          <w:p w14:paraId="4B6BF9CB">
            <w:pPr>
              <w:pStyle w:val="4"/>
              <w:ind w:firstLine="420" w:firstLineChars="0"/>
              <w:rPr>
                <w:rFonts w:ascii="宋体" w:hAnsi="Times New Roman" w:eastAsia="宋体" w:cs="Times New Roman"/>
                <w:kern w:val="0"/>
                <w:sz w:val="21"/>
                <w:szCs w:val="21"/>
                <w:vertAlign w:val="baseline"/>
                <w:lang w:val="en-US" w:eastAsia="zh-CN" w:bidi="ar-SA"/>
              </w:rPr>
            </w:pPr>
          </w:p>
        </w:tc>
      </w:tr>
      <w:tr w14:paraId="2ECF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3159B44C">
            <w:pPr>
              <w:pStyle w:val="4"/>
              <w:ind w:firstLine="420" w:firstLineChars="0"/>
              <w:rPr>
                <w:sz w:val="21"/>
                <w:szCs w:val="21"/>
              </w:rPr>
            </w:pPr>
          </w:p>
        </w:tc>
        <w:tc>
          <w:tcPr>
            <w:tcW w:w="2416" w:type="dxa"/>
            <w:gridSpan w:val="2"/>
            <w:noWrap w:val="0"/>
            <w:vAlign w:val="top"/>
          </w:tcPr>
          <w:p w14:paraId="7B58971C">
            <w:pPr>
              <w:pStyle w:val="4"/>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多点标定功能</w:t>
            </w:r>
          </w:p>
        </w:tc>
        <w:tc>
          <w:tcPr>
            <w:tcW w:w="4334" w:type="dxa"/>
            <w:gridSpan w:val="3"/>
            <w:noWrap w:val="0"/>
            <w:vAlign w:val="top"/>
          </w:tcPr>
          <w:p w14:paraId="0A47227C">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标定误差：1.3mg/L</w:t>
            </w:r>
          </w:p>
        </w:tc>
        <w:tc>
          <w:tcPr>
            <w:tcW w:w="883" w:type="dxa"/>
            <w:vMerge w:val="continue"/>
            <w:noWrap w:val="0"/>
            <w:vAlign w:val="top"/>
          </w:tcPr>
          <w:p w14:paraId="62C88B3F">
            <w:pPr>
              <w:pStyle w:val="4"/>
              <w:ind w:firstLine="420" w:firstLineChars="0"/>
              <w:rPr>
                <w:sz w:val="21"/>
                <w:szCs w:val="21"/>
                <w:vertAlign w:val="baseline"/>
              </w:rPr>
            </w:pPr>
          </w:p>
        </w:tc>
        <w:tc>
          <w:tcPr>
            <w:tcW w:w="783" w:type="dxa"/>
            <w:vMerge w:val="continue"/>
            <w:noWrap w:val="0"/>
            <w:vAlign w:val="top"/>
          </w:tcPr>
          <w:p w14:paraId="0F1F74E6">
            <w:pPr>
              <w:pStyle w:val="4"/>
              <w:ind w:firstLine="420" w:firstLineChars="0"/>
              <w:rPr>
                <w:sz w:val="21"/>
                <w:szCs w:val="21"/>
                <w:vertAlign w:val="baseline"/>
              </w:rPr>
            </w:pPr>
          </w:p>
        </w:tc>
      </w:tr>
      <w:tr w14:paraId="04ED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3F21A8AE">
            <w:pPr>
              <w:pStyle w:val="4"/>
              <w:rPr>
                <w:sz w:val="21"/>
                <w:szCs w:val="21"/>
                <w:vertAlign w:val="baseline"/>
              </w:rPr>
            </w:pPr>
          </w:p>
        </w:tc>
        <w:tc>
          <w:tcPr>
            <w:tcW w:w="2416" w:type="dxa"/>
            <w:gridSpan w:val="2"/>
            <w:noWrap w:val="0"/>
            <w:vAlign w:val="top"/>
          </w:tcPr>
          <w:p w14:paraId="23EEB9B4">
            <w:pPr>
              <w:pStyle w:val="4"/>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试剂余量监控</w:t>
            </w:r>
          </w:p>
        </w:tc>
        <w:tc>
          <w:tcPr>
            <w:tcW w:w="4334" w:type="dxa"/>
            <w:gridSpan w:val="3"/>
            <w:noWrap w:val="0"/>
            <w:vAlign w:val="top"/>
          </w:tcPr>
          <w:p w14:paraId="1493EEA9">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误差：0.3ml</w:t>
            </w:r>
          </w:p>
        </w:tc>
        <w:tc>
          <w:tcPr>
            <w:tcW w:w="883" w:type="dxa"/>
            <w:vMerge w:val="continue"/>
            <w:noWrap w:val="0"/>
            <w:vAlign w:val="top"/>
          </w:tcPr>
          <w:p w14:paraId="1848290F">
            <w:pPr>
              <w:pStyle w:val="4"/>
              <w:rPr>
                <w:sz w:val="21"/>
                <w:szCs w:val="21"/>
                <w:vertAlign w:val="baseline"/>
              </w:rPr>
            </w:pPr>
          </w:p>
        </w:tc>
        <w:tc>
          <w:tcPr>
            <w:tcW w:w="783" w:type="dxa"/>
            <w:vMerge w:val="continue"/>
            <w:noWrap w:val="0"/>
            <w:vAlign w:val="top"/>
          </w:tcPr>
          <w:p w14:paraId="765D6BB6">
            <w:pPr>
              <w:pStyle w:val="4"/>
              <w:rPr>
                <w:sz w:val="21"/>
                <w:szCs w:val="21"/>
                <w:vertAlign w:val="baseline"/>
              </w:rPr>
            </w:pPr>
          </w:p>
        </w:tc>
      </w:tr>
      <w:tr w14:paraId="735B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454F4031">
            <w:pPr>
              <w:pStyle w:val="4"/>
              <w:rPr>
                <w:sz w:val="21"/>
                <w:szCs w:val="21"/>
                <w:vertAlign w:val="baseline"/>
              </w:rPr>
            </w:pPr>
          </w:p>
        </w:tc>
        <w:tc>
          <w:tcPr>
            <w:tcW w:w="866" w:type="dxa"/>
            <w:vMerge w:val="restart"/>
            <w:noWrap w:val="0"/>
            <w:vAlign w:val="top"/>
          </w:tcPr>
          <w:p w14:paraId="47DDC54A">
            <w:pPr>
              <w:pStyle w:val="4"/>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一</w:t>
            </w:r>
          </w:p>
          <w:p w14:paraId="352CA6F5">
            <w:pPr>
              <w:pStyle w:val="4"/>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键</w:t>
            </w:r>
          </w:p>
          <w:p w14:paraId="7C832581">
            <w:pPr>
              <w:pStyle w:val="4"/>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性</w:t>
            </w:r>
          </w:p>
          <w:p w14:paraId="56D228B3">
            <w:pPr>
              <w:pStyle w:val="4"/>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能</w:t>
            </w:r>
          </w:p>
        </w:tc>
        <w:tc>
          <w:tcPr>
            <w:tcW w:w="1550" w:type="dxa"/>
            <w:noWrap w:val="0"/>
            <w:vAlign w:val="top"/>
          </w:tcPr>
          <w:p w14:paraId="5695B30C">
            <w:pPr>
              <w:pStyle w:val="4"/>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零点漂移</w:t>
            </w:r>
          </w:p>
        </w:tc>
        <w:tc>
          <w:tcPr>
            <w:tcW w:w="4334" w:type="dxa"/>
            <w:gridSpan w:val="3"/>
            <w:noWrap w:val="0"/>
            <w:vAlign w:val="top"/>
          </w:tcPr>
          <w:p w14:paraId="7F104154">
            <w:pPr>
              <w:pStyle w:val="4"/>
              <w:ind w:left="0" w:leftChars="0" w:firstLine="0" w:firstLineChars="0"/>
              <w:rPr>
                <w:rFonts w:hint="default"/>
                <w:sz w:val="21"/>
                <w:szCs w:val="21"/>
                <w:vertAlign w:val="baseline"/>
                <w:lang w:val="en-US" w:eastAsia="zh-CN"/>
              </w:rPr>
            </w:pPr>
            <w:r>
              <w:rPr>
                <w:rFonts w:hint="eastAsia"/>
                <w:sz w:val="21"/>
                <w:szCs w:val="21"/>
                <w:vertAlign w:val="baseline"/>
                <w:lang w:val="en-US" w:eastAsia="zh-CN"/>
              </w:rPr>
              <w:t xml:space="preserve">    0.10 mg/L</w:t>
            </w:r>
          </w:p>
        </w:tc>
        <w:tc>
          <w:tcPr>
            <w:tcW w:w="883" w:type="dxa"/>
            <w:vMerge w:val="continue"/>
            <w:noWrap w:val="0"/>
            <w:vAlign w:val="top"/>
          </w:tcPr>
          <w:p w14:paraId="2ADFD3A5">
            <w:pPr>
              <w:pStyle w:val="4"/>
              <w:rPr>
                <w:sz w:val="21"/>
                <w:szCs w:val="21"/>
                <w:vertAlign w:val="baseline"/>
              </w:rPr>
            </w:pPr>
          </w:p>
        </w:tc>
        <w:tc>
          <w:tcPr>
            <w:tcW w:w="783" w:type="dxa"/>
            <w:vMerge w:val="continue"/>
            <w:noWrap w:val="0"/>
            <w:vAlign w:val="top"/>
          </w:tcPr>
          <w:p w14:paraId="6FE77622">
            <w:pPr>
              <w:pStyle w:val="4"/>
              <w:rPr>
                <w:sz w:val="21"/>
                <w:szCs w:val="21"/>
                <w:vertAlign w:val="baseline"/>
              </w:rPr>
            </w:pPr>
          </w:p>
        </w:tc>
      </w:tr>
      <w:tr w14:paraId="6366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534AE7B7">
            <w:pPr>
              <w:pStyle w:val="4"/>
              <w:rPr>
                <w:sz w:val="21"/>
                <w:szCs w:val="21"/>
                <w:vertAlign w:val="baseline"/>
              </w:rPr>
            </w:pPr>
          </w:p>
        </w:tc>
        <w:tc>
          <w:tcPr>
            <w:tcW w:w="866" w:type="dxa"/>
            <w:vMerge w:val="continue"/>
            <w:noWrap w:val="0"/>
            <w:vAlign w:val="top"/>
          </w:tcPr>
          <w:p w14:paraId="405D0F7A">
            <w:pPr>
              <w:pStyle w:val="4"/>
              <w:jc w:val="both"/>
              <w:rPr>
                <w:sz w:val="21"/>
                <w:szCs w:val="21"/>
                <w:vertAlign w:val="baseline"/>
              </w:rPr>
            </w:pPr>
          </w:p>
        </w:tc>
        <w:tc>
          <w:tcPr>
            <w:tcW w:w="1550" w:type="dxa"/>
            <w:noWrap w:val="0"/>
            <w:vAlign w:val="top"/>
          </w:tcPr>
          <w:p w14:paraId="7E76E881">
            <w:pPr>
              <w:pStyle w:val="4"/>
              <w:jc w:val="both"/>
              <w:rPr>
                <w:rFonts w:hint="default" w:eastAsia="宋体"/>
                <w:sz w:val="21"/>
                <w:szCs w:val="21"/>
                <w:vertAlign w:val="baseline"/>
                <w:lang w:val="en-US" w:eastAsia="zh-CN"/>
              </w:rPr>
            </w:pPr>
            <w:r>
              <w:rPr>
                <w:rFonts w:hint="eastAsia"/>
                <w:sz w:val="21"/>
                <w:szCs w:val="21"/>
                <w:vertAlign w:val="baseline"/>
                <w:lang w:val="en-US" w:eastAsia="zh-CN"/>
              </w:rPr>
              <w:t>量程漂移</w:t>
            </w:r>
          </w:p>
        </w:tc>
        <w:tc>
          <w:tcPr>
            <w:tcW w:w="4334" w:type="dxa"/>
            <w:gridSpan w:val="3"/>
            <w:noWrap w:val="0"/>
            <w:vAlign w:val="top"/>
          </w:tcPr>
          <w:p w14:paraId="0FA23930">
            <w:pPr>
              <w:pStyle w:val="4"/>
              <w:rPr>
                <w:rFonts w:hint="default" w:eastAsia="宋体"/>
                <w:sz w:val="21"/>
                <w:szCs w:val="21"/>
                <w:vertAlign w:val="baseline"/>
                <w:lang w:val="en-US" w:eastAsia="zh-CN"/>
              </w:rPr>
            </w:pPr>
            <w:r>
              <w:rPr>
                <w:rFonts w:hint="eastAsia"/>
                <w:sz w:val="21"/>
                <w:szCs w:val="21"/>
                <w:vertAlign w:val="baseline"/>
                <w:lang w:val="en-US" w:eastAsia="zh-CN"/>
              </w:rPr>
              <w:t>0.8%</w:t>
            </w:r>
          </w:p>
        </w:tc>
        <w:tc>
          <w:tcPr>
            <w:tcW w:w="883" w:type="dxa"/>
            <w:vMerge w:val="restart"/>
            <w:noWrap w:val="0"/>
            <w:vAlign w:val="top"/>
          </w:tcPr>
          <w:p w14:paraId="6986747C">
            <w:pPr>
              <w:pStyle w:val="4"/>
              <w:rPr>
                <w:sz w:val="21"/>
                <w:szCs w:val="21"/>
                <w:vertAlign w:val="baseline"/>
              </w:rPr>
            </w:pPr>
          </w:p>
        </w:tc>
        <w:tc>
          <w:tcPr>
            <w:tcW w:w="783" w:type="dxa"/>
            <w:vMerge w:val="restart"/>
            <w:noWrap w:val="0"/>
            <w:vAlign w:val="top"/>
          </w:tcPr>
          <w:p w14:paraId="4A4DEA5F">
            <w:pPr>
              <w:pStyle w:val="4"/>
              <w:rPr>
                <w:sz w:val="21"/>
                <w:szCs w:val="21"/>
                <w:vertAlign w:val="baseline"/>
              </w:rPr>
            </w:pPr>
          </w:p>
        </w:tc>
      </w:tr>
      <w:tr w14:paraId="45FC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31AC6A94">
            <w:pPr>
              <w:pStyle w:val="4"/>
              <w:rPr>
                <w:sz w:val="21"/>
                <w:szCs w:val="21"/>
                <w:vertAlign w:val="baseline"/>
              </w:rPr>
            </w:pPr>
          </w:p>
        </w:tc>
        <w:tc>
          <w:tcPr>
            <w:tcW w:w="866" w:type="dxa"/>
            <w:vMerge w:val="continue"/>
            <w:noWrap w:val="0"/>
            <w:vAlign w:val="top"/>
          </w:tcPr>
          <w:p w14:paraId="55D9E674">
            <w:pPr>
              <w:pStyle w:val="4"/>
              <w:jc w:val="both"/>
              <w:rPr>
                <w:sz w:val="21"/>
                <w:szCs w:val="21"/>
                <w:vertAlign w:val="baseline"/>
              </w:rPr>
            </w:pPr>
          </w:p>
        </w:tc>
        <w:tc>
          <w:tcPr>
            <w:tcW w:w="1550" w:type="dxa"/>
            <w:noWrap w:val="0"/>
            <w:vAlign w:val="top"/>
          </w:tcPr>
          <w:p w14:paraId="604CF8FD">
            <w:pPr>
              <w:pStyle w:val="4"/>
              <w:jc w:val="both"/>
              <w:rPr>
                <w:rFonts w:hint="default" w:eastAsia="宋体"/>
                <w:sz w:val="21"/>
                <w:szCs w:val="21"/>
                <w:vertAlign w:val="baseline"/>
                <w:lang w:val="en-US" w:eastAsia="zh-CN"/>
              </w:rPr>
            </w:pPr>
            <w:r>
              <w:rPr>
                <w:rFonts w:hint="eastAsia"/>
                <w:sz w:val="21"/>
                <w:szCs w:val="21"/>
                <w:vertAlign w:val="baseline"/>
                <w:lang w:val="en-US" w:eastAsia="zh-CN"/>
              </w:rPr>
              <w:t>示值误差</w:t>
            </w:r>
          </w:p>
        </w:tc>
        <w:tc>
          <w:tcPr>
            <w:tcW w:w="4334" w:type="dxa"/>
            <w:gridSpan w:val="3"/>
            <w:noWrap w:val="0"/>
            <w:vAlign w:val="top"/>
          </w:tcPr>
          <w:p w14:paraId="3E8851B5">
            <w:pPr>
              <w:pStyle w:val="4"/>
              <w:rPr>
                <w:rFonts w:hint="default" w:eastAsia="宋体"/>
                <w:sz w:val="21"/>
                <w:szCs w:val="21"/>
                <w:vertAlign w:val="baseline"/>
                <w:lang w:val="en-US" w:eastAsia="zh-CN"/>
              </w:rPr>
            </w:pPr>
            <w:r>
              <w:rPr>
                <w:rFonts w:hint="eastAsia"/>
                <w:sz w:val="21"/>
                <w:szCs w:val="21"/>
                <w:vertAlign w:val="baseline"/>
                <w:lang w:val="en-US" w:eastAsia="zh-CN"/>
              </w:rPr>
              <w:t>0.5%</w:t>
            </w:r>
          </w:p>
        </w:tc>
        <w:tc>
          <w:tcPr>
            <w:tcW w:w="883" w:type="dxa"/>
            <w:vMerge w:val="continue"/>
            <w:noWrap w:val="0"/>
            <w:vAlign w:val="top"/>
          </w:tcPr>
          <w:p w14:paraId="192541FE">
            <w:pPr>
              <w:pStyle w:val="4"/>
              <w:rPr>
                <w:sz w:val="21"/>
                <w:szCs w:val="21"/>
                <w:vertAlign w:val="baseline"/>
              </w:rPr>
            </w:pPr>
          </w:p>
        </w:tc>
        <w:tc>
          <w:tcPr>
            <w:tcW w:w="783" w:type="dxa"/>
            <w:vMerge w:val="continue"/>
            <w:noWrap w:val="0"/>
            <w:vAlign w:val="top"/>
          </w:tcPr>
          <w:p w14:paraId="290F98B6">
            <w:pPr>
              <w:pStyle w:val="4"/>
              <w:rPr>
                <w:sz w:val="21"/>
                <w:szCs w:val="21"/>
                <w:vertAlign w:val="baseline"/>
              </w:rPr>
            </w:pPr>
          </w:p>
        </w:tc>
      </w:tr>
      <w:tr w14:paraId="2B60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5B0AA040">
            <w:pPr>
              <w:pStyle w:val="4"/>
              <w:rPr>
                <w:sz w:val="21"/>
                <w:szCs w:val="21"/>
                <w:vertAlign w:val="baseline"/>
              </w:rPr>
            </w:pPr>
          </w:p>
        </w:tc>
        <w:tc>
          <w:tcPr>
            <w:tcW w:w="866" w:type="dxa"/>
            <w:vMerge w:val="continue"/>
            <w:noWrap w:val="0"/>
            <w:vAlign w:val="top"/>
          </w:tcPr>
          <w:p w14:paraId="704FA442">
            <w:pPr>
              <w:pStyle w:val="4"/>
              <w:jc w:val="both"/>
              <w:rPr>
                <w:sz w:val="21"/>
                <w:szCs w:val="21"/>
                <w:vertAlign w:val="baseline"/>
              </w:rPr>
            </w:pPr>
          </w:p>
        </w:tc>
        <w:tc>
          <w:tcPr>
            <w:tcW w:w="1550" w:type="dxa"/>
            <w:noWrap w:val="0"/>
            <w:vAlign w:val="top"/>
          </w:tcPr>
          <w:p w14:paraId="6EA7909A">
            <w:pPr>
              <w:pStyle w:val="4"/>
              <w:jc w:val="both"/>
              <w:rPr>
                <w:rFonts w:hint="eastAsia" w:eastAsia="宋体"/>
                <w:sz w:val="21"/>
                <w:szCs w:val="21"/>
                <w:vertAlign w:val="baseline"/>
                <w:lang w:val="en-US" w:eastAsia="zh-CN"/>
              </w:rPr>
            </w:pPr>
            <w:r>
              <w:rPr>
                <w:rFonts w:hint="eastAsia"/>
                <w:sz w:val="21"/>
                <w:szCs w:val="21"/>
                <w:vertAlign w:val="baseline"/>
                <w:lang w:val="en-US" w:eastAsia="zh-CN"/>
              </w:rPr>
              <w:t>重复性</w:t>
            </w:r>
          </w:p>
        </w:tc>
        <w:tc>
          <w:tcPr>
            <w:tcW w:w="4334" w:type="dxa"/>
            <w:gridSpan w:val="3"/>
            <w:noWrap w:val="0"/>
            <w:vAlign w:val="top"/>
          </w:tcPr>
          <w:p w14:paraId="3034B05F">
            <w:pPr>
              <w:pStyle w:val="4"/>
              <w:rPr>
                <w:rFonts w:hint="default" w:eastAsia="宋体"/>
                <w:sz w:val="21"/>
                <w:szCs w:val="21"/>
                <w:vertAlign w:val="baseline"/>
                <w:lang w:val="en-US" w:eastAsia="zh-CN"/>
              </w:rPr>
            </w:pPr>
            <w:r>
              <w:rPr>
                <w:rFonts w:hint="eastAsia"/>
                <w:sz w:val="21"/>
                <w:szCs w:val="21"/>
                <w:vertAlign w:val="baseline"/>
                <w:lang w:val="en-US" w:eastAsia="zh-CN"/>
              </w:rPr>
              <w:t>0.5%</w:t>
            </w:r>
          </w:p>
        </w:tc>
        <w:tc>
          <w:tcPr>
            <w:tcW w:w="883" w:type="dxa"/>
            <w:vMerge w:val="continue"/>
            <w:noWrap w:val="0"/>
            <w:vAlign w:val="top"/>
          </w:tcPr>
          <w:p w14:paraId="2BA9A306">
            <w:pPr>
              <w:pStyle w:val="4"/>
              <w:rPr>
                <w:sz w:val="21"/>
                <w:szCs w:val="21"/>
                <w:vertAlign w:val="baseline"/>
              </w:rPr>
            </w:pPr>
          </w:p>
        </w:tc>
        <w:tc>
          <w:tcPr>
            <w:tcW w:w="783" w:type="dxa"/>
            <w:vMerge w:val="continue"/>
            <w:noWrap w:val="0"/>
            <w:vAlign w:val="top"/>
          </w:tcPr>
          <w:p w14:paraId="79E427CC">
            <w:pPr>
              <w:pStyle w:val="4"/>
              <w:rPr>
                <w:sz w:val="21"/>
                <w:szCs w:val="21"/>
                <w:vertAlign w:val="baseline"/>
              </w:rPr>
            </w:pPr>
          </w:p>
        </w:tc>
      </w:tr>
      <w:tr w14:paraId="6CEB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3E65C69B">
            <w:pPr>
              <w:pStyle w:val="4"/>
              <w:rPr>
                <w:sz w:val="21"/>
                <w:szCs w:val="21"/>
                <w:vertAlign w:val="baseline"/>
              </w:rPr>
            </w:pPr>
          </w:p>
        </w:tc>
        <w:tc>
          <w:tcPr>
            <w:tcW w:w="866" w:type="dxa"/>
            <w:vMerge w:val="continue"/>
            <w:noWrap w:val="0"/>
            <w:vAlign w:val="top"/>
          </w:tcPr>
          <w:p w14:paraId="7F621DE8">
            <w:pPr>
              <w:pStyle w:val="4"/>
              <w:jc w:val="both"/>
              <w:rPr>
                <w:sz w:val="21"/>
                <w:szCs w:val="21"/>
                <w:vertAlign w:val="baseline"/>
              </w:rPr>
            </w:pPr>
          </w:p>
        </w:tc>
        <w:tc>
          <w:tcPr>
            <w:tcW w:w="1550" w:type="dxa"/>
            <w:noWrap w:val="0"/>
            <w:vAlign w:val="top"/>
          </w:tcPr>
          <w:p w14:paraId="15C80717">
            <w:pPr>
              <w:pStyle w:val="4"/>
              <w:jc w:val="both"/>
              <w:rPr>
                <w:rFonts w:hint="default" w:eastAsia="宋体"/>
                <w:sz w:val="21"/>
                <w:szCs w:val="21"/>
                <w:vertAlign w:val="baseline"/>
                <w:lang w:val="en-US" w:eastAsia="zh-CN"/>
              </w:rPr>
            </w:pPr>
            <w:r>
              <w:rPr>
                <w:rFonts w:hint="eastAsia"/>
                <w:sz w:val="21"/>
                <w:szCs w:val="21"/>
                <w:vertAlign w:val="baseline"/>
                <w:lang w:val="en-US" w:eastAsia="zh-CN"/>
              </w:rPr>
              <w:t>检出限</w:t>
            </w:r>
          </w:p>
        </w:tc>
        <w:tc>
          <w:tcPr>
            <w:tcW w:w="4334" w:type="dxa"/>
            <w:gridSpan w:val="3"/>
            <w:noWrap w:val="0"/>
            <w:vAlign w:val="top"/>
          </w:tcPr>
          <w:p w14:paraId="63B67FE9">
            <w:pPr>
              <w:pStyle w:val="4"/>
              <w:rPr>
                <w:rFonts w:hint="default" w:eastAsia="宋体"/>
                <w:sz w:val="21"/>
                <w:szCs w:val="21"/>
                <w:vertAlign w:val="baseline"/>
                <w:lang w:val="en-US" w:eastAsia="zh-CN"/>
              </w:rPr>
            </w:pPr>
            <w:r>
              <w:rPr>
                <w:rFonts w:hint="eastAsia"/>
                <w:sz w:val="21"/>
                <w:szCs w:val="21"/>
                <w:vertAlign w:val="baseline"/>
                <w:lang w:val="en-US" w:eastAsia="zh-CN"/>
              </w:rPr>
              <w:t>0.02mg/L</w:t>
            </w:r>
          </w:p>
        </w:tc>
        <w:tc>
          <w:tcPr>
            <w:tcW w:w="883" w:type="dxa"/>
            <w:vMerge w:val="continue"/>
            <w:noWrap w:val="0"/>
            <w:vAlign w:val="top"/>
          </w:tcPr>
          <w:p w14:paraId="0C0BED4B">
            <w:pPr>
              <w:pStyle w:val="4"/>
              <w:rPr>
                <w:sz w:val="21"/>
                <w:szCs w:val="21"/>
                <w:vertAlign w:val="baseline"/>
              </w:rPr>
            </w:pPr>
          </w:p>
        </w:tc>
        <w:tc>
          <w:tcPr>
            <w:tcW w:w="783" w:type="dxa"/>
            <w:vMerge w:val="continue"/>
            <w:noWrap w:val="0"/>
            <w:vAlign w:val="top"/>
          </w:tcPr>
          <w:p w14:paraId="63B9B65A">
            <w:pPr>
              <w:pStyle w:val="4"/>
              <w:rPr>
                <w:sz w:val="21"/>
                <w:szCs w:val="21"/>
                <w:vertAlign w:val="baseline"/>
              </w:rPr>
            </w:pPr>
          </w:p>
        </w:tc>
      </w:tr>
      <w:tr w14:paraId="2A85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45216A3B">
            <w:pPr>
              <w:pStyle w:val="4"/>
              <w:ind w:left="0" w:leftChars="0" w:firstLine="0" w:firstLineChars="0"/>
              <w:rPr>
                <w:sz w:val="21"/>
                <w:szCs w:val="21"/>
                <w:vertAlign w:val="baseline"/>
              </w:rPr>
            </w:pPr>
          </w:p>
        </w:tc>
        <w:tc>
          <w:tcPr>
            <w:tcW w:w="6750" w:type="dxa"/>
            <w:gridSpan w:val="5"/>
            <w:noWrap w:val="0"/>
            <w:vAlign w:val="top"/>
          </w:tcPr>
          <w:p w14:paraId="6F54B0FE">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方法依据：</w:t>
            </w:r>
            <w:r>
              <w:rPr>
                <w:rFonts w:hint="eastAsia"/>
                <w:sz w:val="21"/>
                <w:szCs w:val="21"/>
              </w:rPr>
              <w:t>水杨酸</w:t>
            </w:r>
            <w:r>
              <w:rPr>
                <w:rFonts w:hint="eastAsia"/>
                <w:sz w:val="21"/>
                <w:szCs w:val="21"/>
                <w:lang w:eastAsia="zh-CN"/>
              </w:rPr>
              <w:t>钠</w:t>
            </w:r>
            <w:r>
              <w:rPr>
                <w:rFonts w:hint="eastAsia"/>
                <w:sz w:val="21"/>
                <w:szCs w:val="21"/>
              </w:rPr>
              <w:t>分光光度法</w:t>
            </w:r>
            <w:r>
              <w:rPr>
                <w:rFonts w:hint="eastAsia" w:ascii="宋体" w:hAnsi="宋体"/>
                <w:sz w:val="21"/>
                <w:szCs w:val="21"/>
              </w:rPr>
              <w:t>。</w:t>
            </w:r>
          </w:p>
          <w:p w14:paraId="6C27E333">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测量范围：</w:t>
            </w:r>
            <w:r>
              <w:rPr>
                <w:sz w:val="21"/>
                <w:szCs w:val="21"/>
              </w:rPr>
              <w:t>0</w:t>
            </w:r>
            <w:r>
              <w:rPr>
                <w:rFonts w:hint="eastAsia"/>
                <w:sz w:val="21"/>
                <w:szCs w:val="21"/>
                <w:lang w:val="en-US" w:eastAsia="zh-CN"/>
              </w:rPr>
              <w:t xml:space="preserve"> </w:t>
            </w:r>
            <w:r>
              <w:rPr>
                <w:sz w:val="21"/>
                <w:szCs w:val="21"/>
              </w:rPr>
              <w:t>mg/L-</w:t>
            </w:r>
            <w:r>
              <w:rPr>
                <w:rFonts w:hint="eastAsia"/>
                <w:sz w:val="21"/>
                <w:szCs w:val="21"/>
                <w:lang w:val="en-US" w:eastAsia="zh-CN"/>
              </w:rPr>
              <w:t>3</w:t>
            </w:r>
            <w:r>
              <w:rPr>
                <w:sz w:val="21"/>
                <w:szCs w:val="21"/>
              </w:rPr>
              <w:t>00</w:t>
            </w:r>
            <w:r>
              <w:rPr>
                <w:rFonts w:hint="eastAsia"/>
                <w:sz w:val="21"/>
                <w:szCs w:val="21"/>
                <w:lang w:val="en-US" w:eastAsia="zh-CN"/>
              </w:rPr>
              <w:t xml:space="preserve"> </w:t>
            </w:r>
            <w:r>
              <w:rPr>
                <w:sz w:val="21"/>
                <w:szCs w:val="21"/>
              </w:rPr>
              <w:t xml:space="preserve">mg/L </w:t>
            </w:r>
            <w:r>
              <w:rPr>
                <w:rFonts w:hint="eastAsia"/>
                <w:sz w:val="21"/>
                <w:szCs w:val="21"/>
                <w:lang w:eastAsia="zh-CN"/>
              </w:rPr>
              <w:t>量程</w:t>
            </w:r>
            <w:r>
              <w:rPr>
                <w:rFonts w:hint="eastAsia"/>
                <w:sz w:val="21"/>
                <w:szCs w:val="21"/>
                <w:lang w:val="en-US" w:eastAsia="zh-CN"/>
              </w:rPr>
              <w:t>范围可调整、</w:t>
            </w:r>
            <w:r>
              <w:rPr>
                <w:rFonts w:hint="eastAsia"/>
                <w:sz w:val="21"/>
                <w:szCs w:val="21"/>
                <w:lang w:eastAsia="zh-CN"/>
              </w:rPr>
              <w:t>可扩展</w:t>
            </w:r>
            <w:r>
              <w:rPr>
                <w:rFonts w:hint="eastAsia" w:ascii="宋体" w:hAnsi="宋体"/>
                <w:sz w:val="21"/>
                <w:szCs w:val="21"/>
              </w:rPr>
              <w:t>。</w:t>
            </w:r>
          </w:p>
          <w:p w14:paraId="2A0D2BB5">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准确度：，≤±8%。</w:t>
            </w:r>
          </w:p>
          <w:p w14:paraId="5574B9CD">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重复性：≤</w:t>
            </w:r>
            <w:r>
              <w:rPr>
                <w:rFonts w:hint="eastAsia" w:ascii="宋体" w:hAnsi="宋体"/>
                <w:sz w:val="21"/>
                <w:szCs w:val="21"/>
                <w:lang w:val="en-US" w:eastAsia="zh-CN"/>
              </w:rPr>
              <w:t>1</w:t>
            </w:r>
            <w:r>
              <w:rPr>
                <w:rFonts w:hint="eastAsia" w:ascii="宋体" w:hAnsi="宋体"/>
                <w:sz w:val="21"/>
                <w:szCs w:val="21"/>
              </w:rPr>
              <w:t>% 。</w:t>
            </w:r>
          </w:p>
          <w:p w14:paraId="13214025">
            <w:pPr>
              <w:numPr>
                <w:ilvl w:val="0"/>
                <w:numId w:val="1"/>
              </w:numPr>
              <w:spacing w:line="240" w:lineRule="auto"/>
              <w:ind w:left="0" w:leftChars="0" w:firstLine="0" w:firstLineChars="0"/>
              <w:rPr>
                <w:rFonts w:hint="default" w:ascii="宋体" w:hAnsi="宋体" w:eastAsia="宋体"/>
                <w:sz w:val="21"/>
                <w:szCs w:val="21"/>
                <w:lang w:val="en-US" w:eastAsia="zh-CN"/>
              </w:rPr>
            </w:pPr>
            <w:r>
              <w:rPr>
                <w:rFonts w:hint="eastAsia" w:ascii="宋体" w:hAnsi="宋体"/>
                <w:sz w:val="21"/>
                <w:szCs w:val="21"/>
                <w:lang w:val="en-US" w:eastAsia="zh-CN"/>
              </w:rPr>
              <w:t>定量下限：</w:t>
            </w:r>
            <w:r>
              <w:rPr>
                <w:rFonts w:hint="eastAsia" w:ascii="宋体" w:hAnsi="宋体"/>
                <w:sz w:val="21"/>
                <w:szCs w:val="21"/>
              </w:rPr>
              <w:t>≤</w:t>
            </w:r>
            <w:r>
              <w:rPr>
                <w:rFonts w:hint="eastAsia" w:ascii="宋体" w:hAnsi="宋体"/>
                <w:sz w:val="21"/>
                <w:szCs w:val="21"/>
                <w:lang w:val="en-US" w:eastAsia="zh-CN"/>
              </w:rPr>
              <w:t>0.05</w:t>
            </w:r>
            <w:r>
              <w:rPr>
                <w:sz w:val="21"/>
                <w:szCs w:val="21"/>
              </w:rPr>
              <w:t>mg/L</w:t>
            </w:r>
          </w:p>
          <w:p w14:paraId="25E4D5BC">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测量周期：</w:t>
            </w:r>
            <w:r>
              <w:rPr>
                <w:rFonts w:hint="eastAsia" w:ascii="宋体" w:hAnsi="宋体"/>
                <w:sz w:val="21"/>
                <w:szCs w:val="21"/>
                <w:lang w:val="en-US" w:eastAsia="zh-CN"/>
              </w:rPr>
              <w:t>约</w:t>
            </w:r>
            <w:r>
              <w:rPr>
                <w:rFonts w:hint="eastAsia" w:ascii="宋体" w:hAnsi="宋体"/>
                <w:sz w:val="21"/>
                <w:szCs w:val="21"/>
              </w:rPr>
              <w:t>为</w:t>
            </w:r>
            <w:r>
              <w:rPr>
                <w:rFonts w:hint="eastAsia" w:ascii="宋体" w:hAnsi="宋体"/>
                <w:sz w:val="21"/>
                <w:szCs w:val="21"/>
                <w:lang w:val="en-US" w:eastAsia="zh-CN"/>
              </w:rPr>
              <w:t>30</w:t>
            </w:r>
            <w:r>
              <w:rPr>
                <w:rFonts w:hint="eastAsia" w:ascii="宋体" w:hAnsi="宋体"/>
                <w:sz w:val="21"/>
                <w:szCs w:val="21"/>
              </w:rPr>
              <w:t xml:space="preserve"> min。</w:t>
            </w:r>
          </w:p>
          <w:p w14:paraId="31FF91DC">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采样周期：时间间隔（10 min～9999 min任意可调）和整点测量模式。</w:t>
            </w:r>
          </w:p>
          <w:p w14:paraId="0930E1CD">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校准周期：1～99天任意间隔任意时刻可调。</w:t>
            </w:r>
          </w:p>
          <w:p w14:paraId="0E01A7C9">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w:t>
            </w:r>
            <w:r>
              <w:rPr>
                <w:rFonts w:hint="eastAsia" w:ascii="宋体" w:hAnsi="宋体"/>
                <w:sz w:val="21"/>
                <w:szCs w:val="21"/>
                <w:lang w:eastAsia="zh-CN"/>
              </w:rPr>
              <w:t>标液核查</w:t>
            </w:r>
            <w:r>
              <w:rPr>
                <w:rFonts w:hint="eastAsia" w:ascii="宋体" w:hAnsi="宋体"/>
                <w:sz w:val="21"/>
                <w:szCs w:val="21"/>
              </w:rPr>
              <w:t>周期：1～99天任意间隔任意时刻可调。</w:t>
            </w:r>
          </w:p>
          <w:p w14:paraId="534D06F4">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维护周期：一般每月一次，每次约30 min。</w:t>
            </w:r>
          </w:p>
          <w:p w14:paraId="40D1CC9A">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输出：</w:t>
            </w:r>
            <w:r>
              <w:rPr>
                <w:rFonts w:hint="eastAsia"/>
                <w:sz w:val="21"/>
                <w:szCs w:val="21"/>
              </w:rPr>
              <w:t>2路</w:t>
            </w:r>
            <w:r>
              <w:rPr>
                <w:rFonts w:hint="eastAsia" w:ascii="宋体" w:hAnsi="宋体"/>
                <w:sz w:val="21"/>
                <w:szCs w:val="21"/>
              </w:rPr>
              <w:t>RS-232,2</w:t>
            </w:r>
            <w:r>
              <w:rPr>
                <w:rFonts w:hint="eastAsia"/>
                <w:sz w:val="21"/>
                <w:szCs w:val="21"/>
              </w:rPr>
              <w:t>路</w:t>
            </w:r>
            <w:r>
              <w:rPr>
                <w:sz w:val="21"/>
                <w:szCs w:val="21"/>
              </w:rPr>
              <w:t xml:space="preserve"> 4</w:t>
            </w:r>
            <w:r>
              <w:rPr>
                <w:rFonts w:hint="eastAsia"/>
                <w:sz w:val="21"/>
                <w:szCs w:val="21"/>
              </w:rPr>
              <w:t xml:space="preserve"> mA～20 mA</w:t>
            </w:r>
          </w:p>
          <w:p w14:paraId="4C5DE795">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环境要求：温度可调的室内，建议温度+5～28℃湿度≤90%（不结露）。</w:t>
            </w:r>
          </w:p>
          <w:p w14:paraId="0AD1AD29">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电源：AC220±10% V，50±10% Hz，5 A。</w:t>
            </w:r>
          </w:p>
          <w:p w14:paraId="1ED0AE0F">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尺寸：高1500×长500×宽4</w:t>
            </w:r>
            <w:r>
              <w:rPr>
                <w:rFonts w:hint="eastAsia" w:ascii="宋体" w:hAnsi="宋体"/>
                <w:sz w:val="21"/>
                <w:szCs w:val="21"/>
                <w:lang w:val="en-US" w:eastAsia="zh-CN"/>
              </w:rPr>
              <w:t>60mm以下</w:t>
            </w:r>
            <w:r>
              <w:rPr>
                <w:rFonts w:hint="eastAsia" w:ascii="宋体" w:hAnsi="宋体"/>
                <w:sz w:val="21"/>
                <w:szCs w:val="21"/>
              </w:rPr>
              <w:t xml:space="preserve"> </w:t>
            </w:r>
          </w:p>
          <w:p w14:paraId="257AC0CC">
            <w:pPr>
              <w:spacing w:line="240" w:lineRule="auto"/>
              <w:rPr>
                <w:rFonts w:hint="default" w:ascii="宋体" w:hAnsi="宋体"/>
                <w:sz w:val="21"/>
                <w:szCs w:val="21"/>
                <w:lang w:val="en-US"/>
              </w:rPr>
            </w:pPr>
            <w:r>
              <w:rPr>
                <w:rFonts w:ascii="宋体" w:hAnsi="宋体" w:eastAsia="宋体"/>
                <w:bCs/>
                <w:szCs w:val="21"/>
              </w:rPr>
              <w:t>★</w:t>
            </w:r>
            <w:r>
              <w:rPr>
                <w:rFonts w:hint="eastAsia" w:ascii="宋体" w:hAnsi="宋体"/>
                <w:b/>
                <w:bCs/>
                <w:sz w:val="21"/>
                <w:szCs w:val="21"/>
              </w:rPr>
              <w:t>2.1</w:t>
            </w:r>
            <w:r>
              <w:rPr>
                <w:rFonts w:hint="eastAsia" w:ascii="宋体" w:hAnsi="宋体"/>
                <w:b/>
                <w:bCs/>
                <w:sz w:val="21"/>
                <w:szCs w:val="21"/>
                <w:lang w:val="en-US" w:eastAsia="zh-CN"/>
              </w:rPr>
              <w:t>5</w:t>
            </w:r>
            <w:r>
              <w:rPr>
                <w:rFonts w:hint="eastAsia" w:ascii="宋体" w:hAnsi="宋体"/>
                <w:b/>
                <w:bCs/>
                <w:sz w:val="21"/>
                <w:szCs w:val="21"/>
              </w:rPr>
              <w:t xml:space="preserve"> 其他</w:t>
            </w:r>
            <w:r>
              <w:rPr>
                <w:rFonts w:hint="eastAsia" w:ascii="宋体" w:hAnsi="宋体"/>
                <w:b/>
                <w:bCs/>
                <w:sz w:val="21"/>
                <w:szCs w:val="21"/>
                <w:lang w:val="en-US" w:eastAsia="zh-CN"/>
              </w:rPr>
              <w:t>功</w:t>
            </w:r>
            <w:r>
              <w:rPr>
                <w:rFonts w:hint="eastAsia" w:ascii="宋体" w:hAnsi="宋体"/>
                <w:b/>
                <w:bCs/>
                <w:sz w:val="21"/>
                <w:szCs w:val="21"/>
                <w:highlight w:val="none"/>
                <w:lang w:val="en-US" w:eastAsia="zh-CN"/>
              </w:rPr>
              <w:t>能</w:t>
            </w:r>
            <w:r>
              <w:rPr>
                <w:rFonts w:hint="eastAsia" w:ascii="宋体" w:hAnsi="宋体"/>
                <w:b/>
                <w:bCs/>
                <w:sz w:val="21"/>
                <w:szCs w:val="21"/>
                <w:highlight w:val="none"/>
                <w:u w:val="single"/>
                <w:lang w:val="en-US" w:eastAsia="zh-CN"/>
              </w:rPr>
              <w:t>（投标文件内提供省级或省级以上计量机构出局的相关报告作证）</w:t>
            </w:r>
            <w:r>
              <w:rPr>
                <w:rFonts w:hint="eastAsia" w:ascii="宋体" w:hAnsi="宋体"/>
                <w:b/>
                <w:bCs/>
                <w:sz w:val="21"/>
                <w:szCs w:val="21"/>
                <w:highlight w:val="none"/>
                <w:lang w:val="en-US" w:eastAsia="zh-CN"/>
              </w:rPr>
              <w:t>：</w:t>
            </w:r>
          </w:p>
          <w:p w14:paraId="436311BB">
            <w:pPr>
              <w:spacing w:line="240" w:lineRule="auto"/>
              <w:rPr>
                <w:rFonts w:hint="eastAsia" w:ascii="宋体" w:hAnsi="宋体"/>
                <w:sz w:val="21"/>
                <w:szCs w:val="21"/>
                <w:lang w:val="en-US" w:eastAsia="zh-CN"/>
              </w:rPr>
            </w:pPr>
            <w:r>
              <w:rPr>
                <w:rFonts w:hint="eastAsia" w:ascii="宋体" w:hAnsi="宋体"/>
                <w:sz w:val="21"/>
                <w:szCs w:val="21"/>
                <w:lang w:val="en-US" w:eastAsia="zh-CN"/>
              </w:rPr>
              <w:t>废液和清洗液分离功能</w:t>
            </w:r>
          </w:p>
          <w:p w14:paraId="0060EA06">
            <w:pPr>
              <w:spacing w:line="240" w:lineRule="auto"/>
              <w:rPr>
                <w:rFonts w:hint="eastAsia" w:ascii="宋体" w:hAnsi="宋体"/>
                <w:sz w:val="21"/>
                <w:szCs w:val="21"/>
                <w:lang w:val="en-US" w:eastAsia="zh-CN"/>
              </w:rPr>
            </w:pPr>
            <w:r>
              <w:rPr>
                <w:rFonts w:hint="eastAsia" w:ascii="宋体" w:hAnsi="宋体"/>
                <w:sz w:val="21"/>
                <w:szCs w:val="21"/>
                <w:lang w:val="en-US" w:eastAsia="zh-CN"/>
              </w:rPr>
              <w:t>远程标定、清洗功能</w:t>
            </w:r>
          </w:p>
          <w:p w14:paraId="23E52D48">
            <w:pPr>
              <w:spacing w:line="240" w:lineRule="auto"/>
              <w:rPr>
                <w:rFonts w:hint="eastAsia" w:ascii="宋体" w:hAnsi="宋体"/>
                <w:sz w:val="21"/>
                <w:szCs w:val="21"/>
                <w:lang w:val="en-US" w:eastAsia="zh-CN"/>
              </w:rPr>
            </w:pPr>
            <w:r>
              <w:rPr>
                <w:rFonts w:hint="eastAsia" w:ascii="宋体" w:hAnsi="宋体"/>
                <w:sz w:val="21"/>
                <w:szCs w:val="21"/>
                <w:lang w:val="en-US" w:eastAsia="zh-CN"/>
              </w:rPr>
              <w:t>单点标定功能</w:t>
            </w:r>
          </w:p>
          <w:p w14:paraId="1B5B536D">
            <w:pPr>
              <w:spacing w:line="240" w:lineRule="auto"/>
              <w:rPr>
                <w:rFonts w:hint="eastAsia" w:ascii="宋体" w:hAnsi="宋体"/>
                <w:sz w:val="21"/>
                <w:szCs w:val="21"/>
                <w:lang w:val="en-US" w:eastAsia="zh-CN"/>
              </w:rPr>
            </w:pPr>
            <w:r>
              <w:rPr>
                <w:rFonts w:hint="eastAsia" w:ascii="宋体" w:hAnsi="宋体"/>
                <w:sz w:val="21"/>
                <w:szCs w:val="21"/>
                <w:lang w:val="en-US" w:eastAsia="zh-CN"/>
              </w:rPr>
              <w:t>多点标定功能</w:t>
            </w:r>
          </w:p>
          <w:p w14:paraId="0E5429EF">
            <w:pPr>
              <w:spacing w:line="240" w:lineRule="auto"/>
              <w:rPr>
                <w:rFonts w:hint="eastAsia" w:ascii="宋体" w:hAnsi="宋体"/>
                <w:sz w:val="21"/>
                <w:szCs w:val="21"/>
                <w:lang w:val="en-US" w:eastAsia="zh-CN"/>
              </w:rPr>
            </w:pPr>
            <w:r>
              <w:rPr>
                <w:rFonts w:hint="eastAsia" w:ascii="宋体" w:hAnsi="宋体"/>
                <w:sz w:val="21"/>
                <w:szCs w:val="21"/>
                <w:lang w:val="en-US" w:eastAsia="zh-CN"/>
              </w:rPr>
              <w:t>抗浊度干扰功能</w:t>
            </w:r>
          </w:p>
          <w:p w14:paraId="33DAEB12">
            <w:pPr>
              <w:spacing w:line="240" w:lineRule="auto"/>
              <w:rPr>
                <w:rFonts w:hint="eastAsia" w:ascii="宋体" w:hAnsi="宋体"/>
                <w:sz w:val="21"/>
                <w:szCs w:val="21"/>
                <w:lang w:val="en-US" w:eastAsia="zh-CN"/>
              </w:rPr>
            </w:pPr>
            <w:r>
              <w:rPr>
                <w:rFonts w:hint="eastAsia" w:ascii="宋体" w:hAnsi="宋体"/>
                <w:sz w:val="21"/>
                <w:szCs w:val="21"/>
                <w:lang w:val="en-US" w:eastAsia="zh-CN"/>
              </w:rPr>
              <w:t>压力监测功能</w:t>
            </w:r>
          </w:p>
          <w:p w14:paraId="507084C2">
            <w:pPr>
              <w:spacing w:line="240" w:lineRule="auto"/>
              <w:rPr>
                <w:rFonts w:hint="eastAsia" w:ascii="宋体" w:hAnsi="宋体"/>
                <w:sz w:val="21"/>
                <w:szCs w:val="21"/>
                <w:lang w:val="en-US" w:eastAsia="zh-CN"/>
              </w:rPr>
            </w:pPr>
            <w:r>
              <w:rPr>
                <w:rFonts w:hint="eastAsia" w:ascii="宋体" w:hAnsi="宋体"/>
                <w:sz w:val="21"/>
                <w:szCs w:val="21"/>
                <w:lang w:val="en-US" w:eastAsia="zh-CN"/>
              </w:rPr>
              <w:t>漏液监测功能</w:t>
            </w:r>
          </w:p>
          <w:p w14:paraId="1864B8A3">
            <w:pPr>
              <w:spacing w:line="240" w:lineRule="auto"/>
              <w:rPr>
                <w:rFonts w:hint="eastAsia" w:ascii="宋体" w:hAnsi="宋体"/>
                <w:sz w:val="21"/>
                <w:szCs w:val="21"/>
                <w:lang w:val="en-US" w:eastAsia="zh-CN"/>
              </w:rPr>
            </w:pPr>
            <w:r>
              <w:rPr>
                <w:rFonts w:hint="eastAsia" w:ascii="宋体" w:hAnsi="宋体"/>
                <w:sz w:val="21"/>
                <w:szCs w:val="21"/>
                <w:lang w:val="en-US" w:eastAsia="zh-CN"/>
              </w:rPr>
              <w:t>试剂余量监测功能及报警功能</w:t>
            </w:r>
          </w:p>
          <w:p w14:paraId="15994640">
            <w:pPr>
              <w:spacing w:line="240" w:lineRule="auto"/>
              <w:rPr>
                <w:rFonts w:hint="eastAsia" w:ascii="宋体" w:hAnsi="宋体"/>
                <w:sz w:val="21"/>
                <w:szCs w:val="21"/>
                <w:lang w:val="en-US" w:eastAsia="zh-CN"/>
              </w:rPr>
            </w:pPr>
            <w:r>
              <w:rPr>
                <w:rFonts w:hint="eastAsia" w:ascii="宋体" w:hAnsi="宋体"/>
                <w:sz w:val="21"/>
                <w:szCs w:val="21"/>
                <w:lang w:val="en-US" w:eastAsia="zh-CN"/>
              </w:rPr>
              <w:t>自定义阀门功能</w:t>
            </w:r>
          </w:p>
          <w:p w14:paraId="74292B92">
            <w:pPr>
              <w:spacing w:line="240" w:lineRule="auto"/>
              <w:rPr>
                <w:rFonts w:hint="eastAsia" w:ascii="宋体" w:hAnsi="宋体"/>
                <w:sz w:val="21"/>
                <w:szCs w:val="21"/>
                <w:lang w:val="en-US" w:eastAsia="zh-CN"/>
              </w:rPr>
            </w:pPr>
            <w:r>
              <w:rPr>
                <w:rFonts w:hint="eastAsia" w:ascii="宋体" w:hAnsi="宋体"/>
                <w:sz w:val="21"/>
                <w:szCs w:val="21"/>
                <w:lang w:val="en-US" w:eastAsia="zh-CN"/>
              </w:rPr>
              <w:t>一键性能指标测试功能</w:t>
            </w:r>
          </w:p>
          <w:p w14:paraId="256BC1E3">
            <w:pPr>
              <w:spacing w:line="240" w:lineRule="auto"/>
              <w:rPr>
                <w:rFonts w:hint="eastAsia" w:ascii="宋体" w:hAnsi="宋体"/>
                <w:sz w:val="21"/>
                <w:szCs w:val="21"/>
                <w:lang w:val="en-US" w:eastAsia="zh-CN"/>
              </w:rPr>
            </w:pPr>
            <w:r>
              <w:rPr>
                <w:rFonts w:hint="eastAsia" w:ascii="宋体" w:hAnsi="宋体"/>
                <w:sz w:val="21"/>
                <w:szCs w:val="21"/>
                <w:lang w:val="en-US" w:eastAsia="zh-CN"/>
              </w:rPr>
              <w:t>自动阀控制的双路排放功能</w:t>
            </w:r>
          </w:p>
          <w:p w14:paraId="2ED2FBB2">
            <w:pPr>
              <w:spacing w:line="240" w:lineRule="auto"/>
              <w:rPr>
                <w:rFonts w:hint="eastAsia" w:ascii="宋体" w:hAnsi="宋体"/>
                <w:sz w:val="21"/>
                <w:szCs w:val="21"/>
                <w:lang w:val="en-US" w:eastAsia="zh-CN"/>
              </w:rPr>
            </w:pPr>
            <w:r>
              <w:rPr>
                <w:rFonts w:hint="eastAsia" w:ascii="宋体" w:hAnsi="宋体"/>
                <w:sz w:val="21"/>
                <w:szCs w:val="21"/>
                <w:lang w:val="en-US" w:eastAsia="zh-CN"/>
              </w:rPr>
              <w:t>一键清洗功能</w:t>
            </w:r>
          </w:p>
          <w:p w14:paraId="34873EAD">
            <w:pPr>
              <w:spacing w:line="240" w:lineRule="auto"/>
              <w:rPr>
                <w:rFonts w:hint="eastAsia" w:ascii="宋体" w:hAnsi="宋体"/>
                <w:sz w:val="21"/>
                <w:szCs w:val="21"/>
                <w:lang w:val="en-US" w:eastAsia="zh-CN"/>
              </w:rPr>
            </w:pPr>
            <w:r>
              <w:rPr>
                <w:rFonts w:hint="eastAsia" w:ascii="宋体" w:hAnsi="宋体"/>
                <w:sz w:val="21"/>
                <w:szCs w:val="21"/>
                <w:lang w:val="en-US" w:eastAsia="zh-CN"/>
              </w:rPr>
              <w:t>授权码功能</w:t>
            </w:r>
          </w:p>
          <w:p w14:paraId="12CEE2DA">
            <w:pPr>
              <w:spacing w:line="240" w:lineRule="auto"/>
              <w:rPr>
                <w:rFonts w:hint="eastAsia" w:ascii="宋体" w:hAnsi="宋体"/>
                <w:sz w:val="21"/>
                <w:szCs w:val="21"/>
                <w:lang w:val="en-US" w:eastAsia="zh-CN"/>
              </w:rPr>
            </w:pPr>
            <w:r>
              <w:rPr>
                <w:rFonts w:hint="eastAsia" w:ascii="宋体" w:hAnsi="宋体"/>
                <w:sz w:val="21"/>
                <w:szCs w:val="21"/>
                <w:lang w:val="en-US" w:eastAsia="zh-CN"/>
              </w:rPr>
              <w:t>自动开停机功能</w:t>
            </w:r>
          </w:p>
          <w:p w14:paraId="433BB7C4">
            <w:pPr>
              <w:spacing w:line="240" w:lineRule="auto"/>
              <w:rPr>
                <w:rFonts w:hint="eastAsia" w:ascii="宋体" w:hAnsi="宋体"/>
                <w:sz w:val="21"/>
                <w:szCs w:val="21"/>
                <w:lang w:val="en-US" w:eastAsia="zh-CN"/>
              </w:rPr>
            </w:pPr>
            <w:r>
              <w:rPr>
                <w:rFonts w:hint="eastAsia" w:ascii="宋体" w:hAnsi="宋体"/>
                <w:sz w:val="21"/>
                <w:szCs w:val="21"/>
                <w:lang w:val="en-US" w:eastAsia="zh-CN"/>
              </w:rPr>
              <w:t>流量触发测量功能</w:t>
            </w:r>
          </w:p>
          <w:p w14:paraId="7CAFBF5B">
            <w:pPr>
              <w:spacing w:line="240" w:lineRule="auto"/>
              <w:rPr>
                <w:rFonts w:hint="default"/>
                <w:sz w:val="21"/>
                <w:szCs w:val="21"/>
                <w:vertAlign w:val="baseline"/>
                <w:lang w:val="en-US" w:eastAsia="zh-CN"/>
              </w:rPr>
            </w:pPr>
            <w:r>
              <w:rPr>
                <w:rFonts w:hint="eastAsia" w:ascii="宋体" w:hAnsi="宋体"/>
                <w:sz w:val="21"/>
                <w:szCs w:val="21"/>
                <w:lang w:val="en-US" w:eastAsia="zh-CN"/>
              </w:rPr>
              <w:t>校准报警功能</w:t>
            </w:r>
          </w:p>
        </w:tc>
        <w:tc>
          <w:tcPr>
            <w:tcW w:w="883" w:type="dxa"/>
            <w:vMerge w:val="continue"/>
            <w:noWrap w:val="0"/>
            <w:vAlign w:val="top"/>
          </w:tcPr>
          <w:p w14:paraId="1006E506">
            <w:pPr>
              <w:pStyle w:val="4"/>
              <w:rPr>
                <w:sz w:val="21"/>
                <w:szCs w:val="21"/>
                <w:vertAlign w:val="baseline"/>
              </w:rPr>
            </w:pPr>
          </w:p>
        </w:tc>
        <w:tc>
          <w:tcPr>
            <w:tcW w:w="783" w:type="dxa"/>
            <w:vMerge w:val="continue"/>
            <w:noWrap w:val="0"/>
            <w:vAlign w:val="top"/>
          </w:tcPr>
          <w:p w14:paraId="63304B47">
            <w:pPr>
              <w:pStyle w:val="4"/>
              <w:rPr>
                <w:sz w:val="21"/>
                <w:szCs w:val="21"/>
                <w:vertAlign w:val="baseline"/>
              </w:rPr>
            </w:pPr>
          </w:p>
        </w:tc>
      </w:tr>
      <w:tr w14:paraId="7296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noWrap w:val="0"/>
            <w:vAlign w:val="center"/>
          </w:tcPr>
          <w:p w14:paraId="6D0C1B18">
            <w:pPr>
              <w:pStyle w:val="4"/>
              <w:jc w:val="center"/>
              <w:rPr>
                <w:rFonts w:hint="eastAsia"/>
                <w:sz w:val="21"/>
                <w:szCs w:val="21"/>
                <w:vertAlign w:val="baseline"/>
                <w:lang w:val="en-US" w:eastAsia="zh-CN"/>
              </w:rPr>
            </w:pPr>
          </w:p>
          <w:p w14:paraId="5548520C">
            <w:pPr>
              <w:pStyle w:val="4"/>
              <w:ind w:left="0" w:leftChars="0" w:firstLine="0" w:firstLineChars="0"/>
              <w:jc w:val="center"/>
              <w:rPr>
                <w:rFonts w:hint="eastAsia"/>
                <w:b/>
                <w:bCs/>
                <w:sz w:val="21"/>
                <w:szCs w:val="21"/>
                <w:vertAlign w:val="baseline"/>
                <w:lang w:val="en-US" w:eastAsia="zh-CN"/>
              </w:rPr>
            </w:pPr>
          </w:p>
          <w:p w14:paraId="6C127F7B">
            <w:pPr>
              <w:pStyle w:val="4"/>
              <w:ind w:left="0" w:leftChars="0" w:firstLine="0" w:firstLineChars="0"/>
              <w:jc w:val="center"/>
              <w:rPr>
                <w:rFonts w:hint="eastAsia"/>
                <w:b/>
                <w:bCs/>
                <w:sz w:val="21"/>
                <w:szCs w:val="21"/>
                <w:vertAlign w:val="baseline"/>
                <w:lang w:val="en-US" w:eastAsia="zh-CN"/>
              </w:rPr>
            </w:pPr>
          </w:p>
          <w:p w14:paraId="3599201B">
            <w:pPr>
              <w:pStyle w:val="4"/>
              <w:ind w:left="0" w:leftChars="0" w:firstLine="0" w:firstLineChars="0"/>
              <w:jc w:val="center"/>
              <w:rPr>
                <w:rFonts w:hint="eastAsia"/>
                <w:b/>
                <w:bCs/>
                <w:sz w:val="21"/>
                <w:szCs w:val="21"/>
                <w:vertAlign w:val="baseline"/>
                <w:lang w:val="en-US" w:eastAsia="zh-CN"/>
              </w:rPr>
            </w:pPr>
          </w:p>
          <w:p w14:paraId="5223A887">
            <w:pPr>
              <w:pStyle w:val="4"/>
              <w:ind w:left="0" w:leftChars="0" w:firstLine="0" w:firstLineChars="0"/>
              <w:jc w:val="center"/>
              <w:rPr>
                <w:rFonts w:hint="eastAsia"/>
                <w:b/>
                <w:bCs/>
                <w:sz w:val="21"/>
                <w:szCs w:val="21"/>
                <w:vertAlign w:val="baseline"/>
                <w:lang w:val="en-US" w:eastAsia="zh-CN"/>
              </w:rPr>
            </w:pPr>
          </w:p>
          <w:p w14:paraId="316A79BF">
            <w:pPr>
              <w:pStyle w:val="4"/>
              <w:ind w:left="0" w:leftChars="0" w:firstLine="0" w:firstLineChars="0"/>
              <w:jc w:val="center"/>
              <w:rPr>
                <w:rFonts w:hint="eastAsia"/>
                <w:b/>
                <w:bCs/>
                <w:sz w:val="21"/>
                <w:szCs w:val="21"/>
                <w:vertAlign w:val="baseline"/>
                <w:lang w:val="en-US" w:eastAsia="zh-CN"/>
              </w:rPr>
            </w:pPr>
          </w:p>
          <w:p w14:paraId="1E434185">
            <w:pPr>
              <w:pStyle w:val="4"/>
              <w:ind w:left="0" w:leftChars="0" w:firstLine="0" w:firstLineChars="0"/>
              <w:jc w:val="center"/>
              <w:rPr>
                <w:rFonts w:hint="eastAsia"/>
                <w:b/>
                <w:bCs/>
                <w:sz w:val="21"/>
                <w:szCs w:val="21"/>
                <w:vertAlign w:val="baseline"/>
                <w:lang w:val="en-US" w:eastAsia="zh-CN"/>
              </w:rPr>
            </w:pPr>
          </w:p>
          <w:p w14:paraId="4137CD71">
            <w:pPr>
              <w:pStyle w:val="4"/>
              <w:ind w:left="0" w:leftChars="0" w:firstLine="0" w:firstLineChars="0"/>
              <w:jc w:val="center"/>
              <w:rPr>
                <w:rFonts w:hint="eastAsia"/>
                <w:b/>
                <w:bCs/>
                <w:sz w:val="21"/>
                <w:szCs w:val="21"/>
                <w:vertAlign w:val="baseline"/>
                <w:lang w:val="en-US" w:eastAsia="zh-CN"/>
              </w:rPr>
            </w:pPr>
          </w:p>
          <w:p w14:paraId="26EBF28D">
            <w:pPr>
              <w:pStyle w:val="4"/>
              <w:ind w:left="0" w:leftChars="0" w:firstLine="0" w:firstLineChars="0"/>
              <w:jc w:val="center"/>
              <w:rPr>
                <w:rFonts w:hint="eastAsia"/>
                <w:b/>
                <w:bCs/>
                <w:sz w:val="21"/>
                <w:szCs w:val="21"/>
                <w:vertAlign w:val="baseline"/>
                <w:lang w:val="en-US" w:eastAsia="zh-CN"/>
              </w:rPr>
            </w:pPr>
          </w:p>
          <w:p w14:paraId="2053C439">
            <w:pPr>
              <w:pStyle w:val="4"/>
              <w:ind w:left="0" w:leftChars="0" w:firstLine="0" w:firstLineChars="0"/>
              <w:jc w:val="center"/>
              <w:rPr>
                <w:rFonts w:hint="eastAsia"/>
                <w:b/>
                <w:bCs/>
                <w:sz w:val="21"/>
                <w:szCs w:val="21"/>
                <w:vertAlign w:val="baseline"/>
                <w:lang w:val="en-US" w:eastAsia="zh-CN"/>
              </w:rPr>
            </w:pPr>
          </w:p>
          <w:p w14:paraId="6817DF6D">
            <w:pPr>
              <w:pStyle w:val="4"/>
              <w:ind w:left="0" w:leftChars="0" w:firstLine="0" w:firstLineChars="0"/>
              <w:jc w:val="center"/>
              <w:rPr>
                <w:rFonts w:hint="eastAsia"/>
                <w:b/>
                <w:bCs/>
                <w:sz w:val="21"/>
                <w:szCs w:val="21"/>
                <w:vertAlign w:val="baseline"/>
                <w:lang w:val="en-US" w:eastAsia="zh-CN"/>
              </w:rPr>
            </w:pPr>
          </w:p>
          <w:p w14:paraId="718AAC89">
            <w:pPr>
              <w:pStyle w:val="4"/>
              <w:ind w:left="0" w:leftChars="0" w:firstLine="0" w:firstLineChars="0"/>
              <w:jc w:val="center"/>
              <w:rPr>
                <w:rFonts w:hint="eastAsia"/>
                <w:b/>
                <w:bCs/>
                <w:sz w:val="21"/>
                <w:szCs w:val="21"/>
                <w:vertAlign w:val="baseline"/>
                <w:lang w:val="en-US" w:eastAsia="zh-CN"/>
              </w:rPr>
            </w:pPr>
          </w:p>
          <w:p w14:paraId="16E9A154">
            <w:pPr>
              <w:pStyle w:val="4"/>
              <w:ind w:left="0" w:leftChars="0" w:firstLine="0" w:firstLineChars="0"/>
              <w:jc w:val="center"/>
              <w:rPr>
                <w:rFonts w:hint="eastAsia"/>
                <w:b/>
                <w:bCs/>
                <w:sz w:val="21"/>
                <w:szCs w:val="21"/>
                <w:vertAlign w:val="baseline"/>
                <w:lang w:val="en-US" w:eastAsia="zh-CN"/>
              </w:rPr>
            </w:pPr>
          </w:p>
          <w:p w14:paraId="5CB877C8">
            <w:pPr>
              <w:pStyle w:val="4"/>
              <w:ind w:left="0" w:leftChars="0" w:firstLine="0" w:firstLineChars="0"/>
              <w:jc w:val="center"/>
              <w:rPr>
                <w:rFonts w:hint="eastAsia"/>
                <w:b/>
                <w:bCs/>
                <w:sz w:val="21"/>
                <w:szCs w:val="21"/>
                <w:vertAlign w:val="baseline"/>
                <w:lang w:val="en-US" w:eastAsia="zh-CN"/>
              </w:rPr>
            </w:pPr>
          </w:p>
          <w:p w14:paraId="1B816753">
            <w:pPr>
              <w:pStyle w:val="4"/>
              <w:ind w:left="0" w:leftChars="0" w:firstLine="0" w:firstLineChars="0"/>
              <w:jc w:val="center"/>
              <w:rPr>
                <w:rFonts w:hint="eastAsia"/>
                <w:b/>
                <w:bCs/>
                <w:sz w:val="21"/>
                <w:szCs w:val="21"/>
                <w:vertAlign w:val="baseline"/>
                <w:lang w:val="en-US" w:eastAsia="zh-CN"/>
              </w:rPr>
            </w:pPr>
          </w:p>
          <w:p w14:paraId="6E8BA0DE">
            <w:pPr>
              <w:pStyle w:val="4"/>
              <w:ind w:left="0" w:leftChars="0" w:firstLine="0" w:firstLineChars="0"/>
              <w:jc w:val="center"/>
              <w:rPr>
                <w:rFonts w:hint="eastAsia"/>
                <w:b/>
                <w:bCs/>
                <w:sz w:val="21"/>
                <w:szCs w:val="21"/>
                <w:vertAlign w:val="baseline"/>
                <w:lang w:val="en-US" w:eastAsia="zh-CN"/>
              </w:rPr>
            </w:pPr>
          </w:p>
          <w:p w14:paraId="529ABAAA">
            <w:pPr>
              <w:pStyle w:val="4"/>
              <w:ind w:left="0" w:leftChars="0" w:firstLine="0" w:firstLineChars="0"/>
              <w:jc w:val="center"/>
              <w:rPr>
                <w:rFonts w:hint="eastAsia"/>
                <w:b/>
                <w:bCs/>
                <w:sz w:val="21"/>
                <w:szCs w:val="21"/>
                <w:vertAlign w:val="baseline"/>
                <w:lang w:val="en-US" w:eastAsia="zh-CN"/>
              </w:rPr>
            </w:pPr>
          </w:p>
          <w:p w14:paraId="66AC8D78">
            <w:pPr>
              <w:pStyle w:val="4"/>
              <w:ind w:left="0" w:leftChars="0" w:firstLine="0" w:firstLineChars="0"/>
              <w:jc w:val="center"/>
              <w:rPr>
                <w:rFonts w:hint="eastAsia"/>
                <w:b/>
                <w:bCs/>
                <w:sz w:val="21"/>
                <w:szCs w:val="21"/>
                <w:vertAlign w:val="baseline"/>
                <w:lang w:val="en-US" w:eastAsia="zh-CN"/>
              </w:rPr>
            </w:pPr>
          </w:p>
          <w:p w14:paraId="50EB01F2">
            <w:pPr>
              <w:pStyle w:val="4"/>
              <w:ind w:left="0" w:leftChars="0" w:firstLine="0" w:firstLineChars="0"/>
              <w:jc w:val="center"/>
              <w:rPr>
                <w:rFonts w:hint="default" w:eastAsia="宋体"/>
                <w:sz w:val="21"/>
                <w:szCs w:val="21"/>
                <w:vertAlign w:val="baseline"/>
                <w:lang w:val="en-US" w:eastAsia="zh-CN"/>
              </w:rPr>
            </w:pPr>
            <w:r>
              <w:rPr>
                <w:rFonts w:hint="eastAsia"/>
                <w:b/>
                <w:bCs/>
                <w:sz w:val="21"/>
                <w:szCs w:val="21"/>
                <w:vertAlign w:val="baseline"/>
                <w:lang w:val="en-US" w:eastAsia="zh-CN"/>
              </w:rPr>
              <w:t>超声波明渠流量计</w:t>
            </w:r>
          </w:p>
        </w:tc>
        <w:tc>
          <w:tcPr>
            <w:tcW w:w="6750" w:type="dxa"/>
            <w:gridSpan w:val="5"/>
            <w:noWrap w:val="0"/>
            <w:vAlign w:val="top"/>
          </w:tcPr>
          <w:p w14:paraId="2F138517">
            <w:pPr>
              <w:numPr>
                <w:ilvl w:val="0"/>
                <w:numId w:val="2"/>
              </w:numP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sz w:val="21"/>
                <w:szCs w:val="21"/>
                <w:u w:val="none"/>
              </w:rPr>
              <w:t>流量范围：10L/s～10000L/s （与配用的量水堰槽的种类、规格有关）</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2. 累计流量：8位十进制数，累满8位后自动回零，重计</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3. 流量准确度：±5％（配用量水堰槽不确定的1%～3％，附加上仪表测量误差1%～2％）</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4. 测距范围：0.4m～2m（从探头底部起0.4m内是盲区，以远0.4m～2m内为测距范围）</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5. 测距准确度：±3mm （在1m量程内标定的结果）</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6. 液位分辩：1mm</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7. 工作环境温度： 仪表部分：-5℃～45℃ （GB/T17214.1-C1标准）；探头部分：-33℃～40℃（GB/T17214.1-D1标准）。</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8. 仪表防护等级： 仪表显示部分：IP66(仪表下部的过线孔要堵死，防尘埃进入)；探头部分：IP68（外壳密封防水）。</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9. 供电电源： 交流供电：（220V±22V） 6W</w:t>
            </w:r>
            <w:r>
              <w:rPr>
                <w:rFonts w:hint="eastAsia" w:ascii="宋体" w:hAnsi="宋体" w:cs="宋体"/>
                <w:i w:val="0"/>
                <w:iCs w:val="0"/>
                <w:caps w:val="0"/>
                <w:color w:val="000000"/>
                <w:spacing w:val="0"/>
                <w:sz w:val="21"/>
                <w:szCs w:val="21"/>
                <w:u w:val="none"/>
                <w:lang w:val="en-US" w:eastAsia="zh-CN"/>
              </w:rPr>
              <w:t>;</w:t>
            </w:r>
            <w:r>
              <w:rPr>
                <w:rFonts w:hint="eastAsia" w:ascii="宋体" w:hAnsi="宋体" w:eastAsia="宋体" w:cs="宋体"/>
                <w:i w:val="0"/>
                <w:iCs w:val="0"/>
                <w:caps w:val="0"/>
                <w:color w:val="000000"/>
                <w:spacing w:val="0"/>
                <w:sz w:val="21"/>
                <w:szCs w:val="21"/>
                <w:u w:val="none"/>
              </w:rPr>
              <w:t>直流供电：12V±2V 85mA [直流供电时，仪表没有4～20mA输出和继电器动作]</w:t>
            </w:r>
            <w:r>
              <w:rPr>
                <w:rFonts w:hint="eastAsia" w:ascii="宋体" w:hAnsi="宋体" w:cs="宋体"/>
                <w:i w:val="0"/>
                <w:iCs w:val="0"/>
                <w:caps w:val="0"/>
                <w:color w:val="000000"/>
                <w:spacing w:val="0"/>
                <w:sz w:val="21"/>
                <w:szCs w:val="21"/>
                <w:u w:val="none"/>
                <w:lang w:val="en-US" w:eastAsia="zh-CN"/>
              </w:rPr>
              <w:t>;</w:t>
            </w:r>
            <w:r>
              <w:rPr>
                <w:rFonts w:hint="eastAsia" w:ascii="宋体" w:hAnsi="宋体" w:eastAsia="宋体" w:cs="宋体"/>
                <w:i w:val="0"/>
                <w:iCs w:val="0"/>
                <w:caps w:val="0"/>
                <w:color w:val="000000"/>
                <w:spacing w:val="0"/>
                <w:sz w:val="21"/>
                <w:szCs w:val="21"/>
                <w:u w:val="none"/>
              </w:rPr>
              <w:t>交流、直流供电同时存在时，仪表使用交流供电；交流掉电，自动接通直流。</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10. 仪表日历钟计时误差: &lt; 0.05%</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11. 仪表数据存储量：每分钟一个记录：连续存储大于20年</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12. 接入其它仪表的(4～20)mA电流：</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仪表内部采样电阻： 100Ω；负端与仪表地端共接</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可以接入的数量：I1、I2、I3、I4共4路</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13. 可以配接的打印机： DB25插孔（RS232-1）；DB9插针（RS232-2）。</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打印机选用EPSON兼容串口打印机（建议配用UP-T 40）</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14. 电流输出(4～20)mA：</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外部负载电阻：(0～600)Ω</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误差： 0.5％ (相对仪表示值)</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负端与仪表地端共接 (根据应用需要可改成悬浮地输出)</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输出内容：流量 或 液位</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15. RS-232-1：接口插座，DB25插孔</w:t>
            </w:r>
          </w:p>
          <w:p w14:paraId="347D889D">
            <w:pPr>
              <w:numPr>
                <w:ilvl w:val="0"/>
                <w:numId w:val="0"/>
              </w:numPr>
              <w:rPr>
                <w:rFonts w:hint="eastAsia"/>
                <w:sz w:val="21"/>
                <w:szCs w:val="21"/>
                <w:vertAlign w:val="baseline"/>
                <w:lang w:val="en-US" w:eastAsia="zh-CN"/>
              </w:rPr>
            </w:pPr>
            <w:r>
              <w:rPr>
                <w:rFonts w:hint="eastAsia" w:ascii="宋体" w:hAnsi="宋体" w:eastAsia="宋体" w:cs="宋体"/>
                <w:i w:val="0"/>
                <w:iCs w:val="0"/>
                <w:caps w:val="0"/>
                <w:color w:val="000000"/>
                <w:spacing w:val="0"/>
                <w:sz w:val="21"/>
                <w:szCs w:val="21"/>
                <w:u w:val="none"/>
              </w:rPr>
              <w:t>16. RS-232-2：接口插座，DB9插针</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17. RS-485：接口三接线端子；A线，B线，GND线</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18. 继电器：</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控制方式： 可设置为立方米比例（累计流量达到设置数时，继电器闭合一次）、液位超过上限或低于下限吸合、液位超过上限吸合、液位低于下限吸合。</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类型： 单刀双掷 （常开、常闭）</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触点容量： AC250V 1A ；DC30V 1A</w:t>
            </w:r>
          </w:p>
        </w:tc>
        <w:tc>
          <w:tcPr>
            <w:tcW w:w="883" w:type="dxa"/>
            <w:noWrap w:val="0"/>
            <w:vAlign w:val="center"/>
          </w:tcPr>
          <w:p w14:paraId="68844CF2">
            <w:pPr>
              <w:pStyle w:val="4"/>
              <w:jc w:val="center"/>
              <w:rPr>
                <w:rFonts w:hint="eastAsia"/>
                <w:sz w:val="21"/>
                <w:szCs w:val="21"/>
                <w:vertAlign w:val="baseline"/>
                <w:lang w:val="en-US" w:eastAsia="zh-CN"/>
              </w:rPr>
            </w:pPr>
          </w:p>
          <w:p w14:paraId="3A444F51">
            <w:pPr>
              <w:pStyle w:val="4"/>
              <w:jc w:val="center"/>
              <w:rPr>
                <w:rFonts w:hint="eastAsia"/>
                <w:sz w:val="21"/>
                <w:szCs w:val="21"/>
                <w:vertAlign w:val="baseline"/>
                <w:lang w:val="en-US" w:eastAsia="zh-CN"/>
              </w:rPr>
            </w:pPr>
          </w:p>
          <w:p w14:paraId="19A761C1">
            <w:pPr>
              <w:pStyle w:val="4"/>
              <w:jc w:val="center"/>
              <w:rPr>
                <w:rFonts w:hint="eastAsia"/>
                <w:sz w:val="21"/>
                <w:szCs w:val="21"/>
                <w:vertAlign w:val="baseline"/>
                <w:lang w:val="en-US" w:eastAsia="zh-CN"/>
              </w:rPr>
            </w:pPr>
          </w:p>
          <w:p w14:paraId="639C330B">
            <w:pPr>
              <w:pStyle w:val="4"/>
              <w:jc w:val="center"/>
              <w:rPr>
                <w:rFonts w:hint="eastAsia"/>
                <w:sz w:val="21"/>
                <w:szCs w:val="21"/>
                <w:vertAlign w:val="baseline"/>
                <w:lang w:val="en-US" w:eastAsia="zh-CN"/>
              </w:rPr>
            </w:pPr>
          </w:p>
          <w:p w14:paraId="368B828E">
            <w:pPr>
              <w:pStyle w:val="4"/>
              <w:jc w:val="center"/>
              <w:rPr>
                <w:rFonts w:hint="eastAsia"/>
                <w:sz w:val="21"/>
                <w:szCs w:val="21"/>
                <w:vertAlign w:val="baseline"/>
                <w:lang w:val="en-US" w:eastAsia="zh-CN"/>
              </w:rPr>
            </w:pPr>
          </w:p>
          <w:p w14:paraId="3C813117">
            <w:pPr>
              <w:pStyle w:val="4"/>
              <w:jc w:val="center"/>
              <w:rPr>
                <w:rFonts w:hint="eastAsia"/>
                <w:sz w:val="21"/>
                <w:szCs w:val="21"/>
                <w:vertAlign w:val="baseline"/>
                <w:lang w:val="en-US" w:eastAsia="zh-CN"/>
              </w:rPr>
            </w:pPr>
          </w:p>
          <w:p w14:paraId="06B770BF">
            <w:pPr>
              <w:pStyle w:val="4"/>
              <w:jc w:val="center"/>
              <w:rPr>
                <w:rFonts w:hint="eastAsia"/>
                <w:sz w:val="21"/>
                <w:szCs w:val="21"/>
                <w:vertAlign w:val="baseline"/>
                <w:lang w:val="en-US" w:eastAsia="zh-CN"/>
              </w:rPr>
            </w:pPr>
          </w:p>
          <w:p w14:paraId="3E86D66E">
            <w:pPr>
              <w:pStyle w:val="4"/>
              <w:jc w:val="center"/>
              <w:rPr>
                <w:rFonts w:hint="eastAsia"/>
                <w:sz w:val="21"/>
                <w:szCs w:val="21"/>
                <w:vertAlign w:val="baseline"/>
                <w:lang w:val="en-US" w:eastAsia="zh-CN"/>
              </w:rPr>
            </w:pPr>
          </w:p>
          <w:p w14:paraId="58588749">
            <w:pPr>
              <w:pStyle w:val="4"/>
              <w:jc w:val="center"/>
              <w:rPr>
                <w:rFonts w:hint="eastAsia"/>
                <w:sz w:val="21"/>
                <w:szCs w:val="21"/>
                <w:vertAlign w:val="baseline"/>
                <w:lang w:val="en-US" w:eastAsia="zh-CN"/>
              </w:rPr>
            </w:pPr>
          </w:p>
          <w:p w14:paraId="1E4C4D9F">
            <w:pPr>
              <w:pStyle w:val="4"/>
              <w:jc w:val="center"/>
              <w:rPr>
                <w:rFonts w:hint="eastAsia"/>
                <w:sz w:val="21"/>
                <w:szCs w:val="21"/>
                <w:vertAlign w:val="baseline"/>
                <w:lang w:val="en-US" w:eastAsia="zh-CN"/>
              </w:rPr>
            </w:pPr>
          </w:p>
          <w:p w14:paraId="4B182ECF">
            <w:pPr>
              <w:pStyle w:val="4"/>
              <w:jc w:val="center"/>
              <w:rPr>
                <w:rFonts w:hint="eastAsia"/>
                <w:sz w:val="21"/>
                <w:szCs w:val="21"/>
                <w:vertAlign w:val="baseline"/>
                <w:lang w:val="en-US" w:eastAsia="zh-CN"/>
              </w:rPr>
            </w:pPr>
          </w:p>
          <w:p w14:paraId="70AB1B4F">
            <w:pPr>
              <w:pStyle w:val="4"/>
              <w:jc w:val="center"/>
              <w:rPr>
                <w:rFonts w:hint="eastAsia"/>
                <w:sz w:val="21"/>
                <w:szCs w:val="21"/>
                <w:vertAlign w:val="baseline"/>
                <w:lang w:val="en-US" w:eastAsia="zh-CN"/>
              </w:rPr>
            </w:pPr>
          </w:p>
          <w:p w14:paraId="14567331">
            <w:pPr>
              <w:pStyle w:val="4"/>
              <w:jc w:val="center"/>
              <w:rPr>
                <w:rFonts w:hint="eastAsia"/>
                <w:sz w:val="21"/>
                <w:szCs w:val="21"/>
                <w:vertAlign w:val="baseline"/>
                <w:lang w:val="en-US" w:eastAsia="zh-CN"/>
              </w:rPr>
            </w:pPr>
          </w:p>
          <w:p w14:paraId="431C4CF0">
            <w:pPr>
              <w:pStyle w:val="4"/>
              <w:jc w:val="center"/>
              <w:rPr>
                <w:rFonts w:hint="eastAsia"/>
                <w:sz w:val="21"/>
                <w:szCs w:val="21"/>
                <w:vertAlign w:val="baseline"/>
                <w:lang w:val="en-US" w:eastAsia="zh-CN"/>
              </w:rPr>
            </w:pPr>
          </w:p>
          <w:p w14:paraId="36EA0363">
            <w:pPr>
              <w:pStyle w:val="4"/>
              <w:jc w:val="center"/>
              <w:rPr>
                <w:rFonts w:hint="eastAsia"/>
                <w:sz w:val="21"/>
                <w:szCs w:val="21"/>
                <w:vertAlign w:val="baseline"/>
                <w:lang w:val="en-US" w:eastAsia="zh-CN"/>
              </w:rPr>
            </w:pPr>
          </w:p>
          <w:p w14:paraId="734BA0EB">
            <w:pPr>
              <w:pStyle w:val="4"/>
              <w:jc w:val="center"/>
              <w:rPr>
                <w:rFonts w:hint="eastAsia"/>
                <w:sz w:val="21"/>
                <w:szCs w:val="21"/>
                <w:vertAlign w:val="baseline"/>
                <w:lang w:val="en-US" w:eastAsia="zh-CN"/>
              </w:rPr>
            </w:pPr>
          </w:p>
          <w:p w14:paraId="1AF3FAEE">
            <w:pPr>
              <w:pStyle w:val="4"/>
              <w:jc w:val="center"/>
              <w:rPr>
                <w:rFonts w:hint="eastAsia"/>
                <w:sz w:val="21"/>
                <w:szCs w:val="21"/>
                <w:vertAlign w:val="baseline"/>
                <w:lang w:val="en-US" w:eastAsia="zh-CN"/>
              </w:rPr>
            </w:pPr>
          </w:p>
          <w:p w14:paraId="25C2AA19">
            <w:pPr>
              <w:pStyle w:val="4"/>
              <w:jc w:val="center"/>
              <w:rPr>
                <w:rFonts w:hint="eastAsia"/>
                <w:sz w:val="21"/>
                <w:szCs w:val="21"/>
                <w:vertAlign w:val="baseline"/>
                <w:lang w:val="en-US" w:eastAsia="zh-CN"/>
              </w:rPr>
            </w:pPr>
          </w:p>
          <w:p w14:paraId="72B4FC8F">
            <w:pPr>
              <w:pStyle w:val="4"/>
              <w:ind w:left="0" w:leftChars="0" w:firstLine="210" w:firstLineChars="100"/>
              <w:jc w:val="both"/>
              <w:rPr>
                <w:rFonts w:hint="eastAsia" w:eastAsia="宋体"/>
                <w:sz w:val="21"/>
                <w:szCs w:val="21"/>
                <w:vertAlign w:val="baseline"/>
                <w:lang w:val="en-US" w:eastAsia="zh-CN"/>
              </w:rPr>
            </w:pPr>
            <w:r>
              <w:rPr>
                <w:rFonts w:hint="eastAsia"/>
                <w:sz w:val="21"/>
                <w:szCs w:val="21"/>
                <w:vertAlign w:val="baseline"/>
                <w:lang w:val="en-US" w:eastAsia="zh-CN"/>
              </w:rPr>
              <w:t>个</w:t>
            </w:r>
          </w:p>
        </w:tc>
        <w:tc>
          <w:tcPr>
            <w:tcW w:w="783" w:type="dxa"/>
            <w:noWrap w:val="0"/>
            <w:vAlign w:val="center"/>
          </w:tcPr>
          <w:p w14:paraId="4CABF9DC">
            <w:pPr>
              <w:pStyle w:val="4"/>
              <w:ind w:left="0" w:leftChars="0" w:firstLine="0" w:firstLineChars="0"/>
              <w:jc w:val="both"/>
              <w:rPr>
                <w:rFonts w:hint="eastAsia"/>
                <w:sz w:val="21"/>
                <w:szCs w:val="21"/>
                <w:vertAlign w:val="baseline"/>
                <w:lang w:val="en-US" w:eastAsia="zh-CN"/>
              </w:rPr>
            </w:pPr>
          </w:p>
          <w:p w14:paraId="11D02283">
            <w:pPr>
              <w:pStyle w:val="4"/>
              <w:ind w:left="0" w:leftChars="0" w:firstLine="0" w:firstLineChars="0"/>
              <w:jc w:val="both"/>
              <w:rPr>
                <w:rFonts w:hint="eastAsia"/>
                <w:sz w:val="21"/>
                <w:szCs w:val="21"/>
                <w:vertAlign w:val="baseline"/>
                <w:lang w:val="en-US" w:eastAsia="zh-CN"/>
              </w:rPr>
            </w:pPr>
          </w:p>
          <w:p w14:paraId="5B9F76D9">
            <w:pPr>
              <w:pStyle w:val="4"/>
              <w:ind w:left="0" w:leftChars="0" w:firstLine="0" w:firstLineChars="0"/>
              <w:jc w:val="both"/>
              <w:rPr>
                <w:rFonts w:hint="eastAsia"/>
                <w:sz w:val="21"/>
                <w:szCs w:val="21"/>
                <w:vertAlign w:val="baseline"/>
                <w:lang w:val="en-US" w:eastAsia="zh-CN"/>
              </w:rPr>
            </w:pPr>
          </w:p>
          <w:p w14:paraId="6E34FE90">
            <w:pPr>
              <w:pStyle w:val="4"/>
              <w:ind w:left="0" w:leftChars="0" w:firstLine="0" w:firstLineChars="0"/>
              <w:jc w:val="both"/>
              <w:rPr>
                <w:rFonts w:hint="eastAsia"/>
                <w:sz w:val="21"/>
                <w:szCs w:val="21"/>
                <w:vertAlign w:val="baseline"/>
                <w:lang w:val="en-US" w:eastAsia="zh-CN"/>
              </w:rPr>
            </w:pPr>
          </w:p>
          <w:p w14:paraId="753A16A8">
            <w:pPr>
              <w:pStyle w:val="4"/>
              <w:ind w:left="0" w:leftChars="0" w:firstLine="0" w:firstLineChars="0"/>
              <w:jc w:val="both"/>
              <w:rPr>
                <w:rFonts w:hint="eastAsia"/>
                <w:sz w:val="21"/>
                <w:szCs w:val="21"/>
                <w:vertAlign w:val="baseline"/>
                <w:lang w:val="en-US" w:eastAsia="zh-CN"/>
              </w:rPr>
            </w:pPr>
          </w:p>
          <w:p w14:paraId="53892FE9">
            <w:pPr>
              <w:pStyle w:val="4"/>
              <w:ind w:left="0" w:leftChars="0" w:firstLine="0" w:firstLineChars="0"/>
              <w:jc w:val="both"/>
              <w:rPr>
                <w:rFonts w:hint="eastAsia"/>
                <w:sz w:val="21"/>
                <w:szCs w:val="21"/>
                <w:vertAlign w:val="baseline"/>
                <w:lang w:val="en-US" w:eastAsia="zh-CN"/>
              </w:rPr>
            </w:pPr>
          </w:p>
          <w:p w14:paraId="0BBB9BB3">
            <w:pPr>
              <w:pStyle w:val="4"/>
              <w:ind w:left="0" w:leftChars="0" w:firstLine="0" w:firstLineChars="0"/>
              <w:jc w:val="both"/>
              <w:rPr>
                <w:rFonts w:hint="eastAsia"/>
                <w:sz w:val="21"/>
                <w:szCs w:val="21"/>
                <w:vertAlign w:val="baseline"/>
                <w:lang w:val="en-US" w:eastAsia="zh-CN"/>
              </w:rPr>
            </w:pPr>
          </w:p>
          <w:p w14:paraId="03E6FD70">
            <w:pPr>
              <w:pStyle w:val="4"/>
              <w:ind w:left="0" w:leftChars="0" w:firstLine="0" w:firstLineChars="0"/>
              <w:jc w:val="both"/>
              <w:rPr>
                <w:rFonts w:hint="eastAsia"/>
                <w:sz w:val="21"/>
                <w:szCs w:val="21"/>
                <w:vertAlign w:val="baseline"/>
                <w:lang w:val="en-US" w:eastAsia="zh-CN"/>
              </w:rPr>
            </w:pPr>
          </w:p>
          <w:p w14:paraId="2DF2C6D3">
            <w:pPr>
              <w:pStyle w:val="4"/>
              <w:ind w:left="0" w:leftChars="0" w:firstLine="0" w:firstLineChars="0"/>
              <w:jc w:val="both"/>
              <w:rPr>
                <w:rFonts w:hint="eastAsia"/>
                <w:sz w:val="21"/>
                <w:szCs w:val="21"/>
                <w:vertAlign w:val="baseline"/>
                <w:lang w:val="en-US" w:eastAsia="zh-CN"/>
              </w:rPr>
            </w:pPr>
          </w:p>
          <w:p w14:paraId="30032C64">
            <w:pPr>
              <w:pStyle w:val="4"/>
              <w:ind w:left="0" w:leftChars="0" w:firstLine="0" w:firstLineChars="0"/>
              <w:jc w:val="both"/>
              <w:rPr>
                <w:rFonts w:hint="eastAsia"/>
                <w:sz w:val="21"/>
                <w:szCs w:val="21"/>
                <w:vertAlign w:val="baseline"/>
                <w:lang w:val="en-US" w:eastAsia="zh-CN"/>
              </w:rPr>
            </w:pPr>
          </w:p>
          <w:p w14:paraId="7FC6F23C">
            <w:pPr>
              <w:pStyle w:val="4"/>
              <w:ind w:left="0" w:leftChars="0" w:firstLine="0" w:firstLineChars="0"/>
              <w:jc w:val="both"/>
              <w:rPr>
                <w:rFonts w:hint="eastAsia"/>
                <w:sz w:val="21"/>
                <w:szCs w:val="21"/>
                <w:vertAlign w:val="baseline"/>
                <w:lang w:val="en-US" w:eastAsia="zh-CN"/>
              </w:rPr>
            </w:pPr>
          </w:p>
          <w:p w14:paraId="3FB77E36">
            <w:pPr>
              <w:pStyle w:val="4"/>
              <w:ind w:left="0" w:leftChars="0" w:firstLine="0" w:firstLineChars="0"/>
              <w:jc w:val="both"/>
              <w:rPr>
                <w:rFonts w:hint="eastAsia"/>
                <w:sz w:val="21"/>
                <w:szCs w:val="21"/>
                <w:vertAlign w:val="baseline"/>
                <w:lang w:val="en-US" w:eastAsia="zh-CN"/>
              </w:rPr>
            </w:pPr>
          </w:p>
          <w:p w14:paraId="63905A9E">
            <w:pPr>
              <w:pStyle w:val="4"/>
              <w:ind w:left="0" w:leftChars="0" w:firstLine="0" w:firstLineChars="0"/>
              <w:jc w:val="both"/>
              <w:rPr>
                <w:rFonts w:hint="eastAsia"/>
                <w:sz w:val="21"/>
                <w:szCs w:val="21"/>
                <w:vertAlign w:val="baseline"/>
                <w:lang w:val="en-US" w:eastAsia="zh-CN"/>
              </w:rPr>
            </w:pPr>
          </w:p>
          <w:p w14:paraId="52E1CD99">
            <w:pPr>
              <w:pStyle w:val="4"/>
              <w:ind w:left="0" w:leftChars="0" w:firstLine="0" w:firstLineChars="0"/>
              <w:jc w:val="both"/>
              <w:rPr>
                <w:rFonts w:hint="eastAsia"/>
                <w:sz w:val="21"/>
                <w:szCs w:val="21"/>
                <w:vertAlign w:val="baseline"/>
                <w:lang w:val="en-US" w:eastAsia="zh-CN"/>
              </w:rPr>
            </w:pPr>
          </w:p>
          <w:p w14:paraId="199BA013">
            <w:pPr>
              <w:pStyle w:val="4"/>
              <w:ind w:left="0" w:leftChars="0" w:firstLine="0" w:firstLineChars="0"/>
              <w:jc w:val="both"/>
              <w:rPr>
                <w:rFonts w:hint="eastAsia"/>
                <w:sz w:val="21"/>
                <w:szCs w:val="21"/>
                <w:vertAlign w:val="baseline"/>
                <w:lang w:val="en-US" w:eastAsia="zh-CN"/>
              </w:rPr>
            </w:pPr>
          </w:p>
          <w:p w14:paraId="4C4EB7E2">
            <w:pPr>
              <w:pStyle w:val="4"/>
              <w:ind w:left="0" w:leftChars="0" w:firstLine="0" w:firstLineChars="0"/>
              <w:jc w:val="both"/>
              <w:rPr>
                <w:rFonts w:hint="eastAsia"/>
                <w:sz w:val="21"/>
                <w:szCs w:val="21"/>
                <w:vertAlign w:val="baseline"/>
                <w:lang w:val="en-US" w:eastAsia="zh-CN"/>
              </w:rPr>
            </w:pPr>
          </w:p>
          <w:p w14:paraId="536CEDB6">
            <w:pPr>
              <w:pStyle w:val="4"/>
              <w:ind w:left="0" w:leftChars="0" w:firstLine="0" w:firstLineChars="0"/>
              <w:jc w:val="both"/>
              <w:rPr>
                <w:rFonts w:hint="eastAsia"/>
                <w:sz w:val="21"/>
                <w:szCs w:val="21"/>
                <w:vertAlign w:val="baseline"/>
                <w:lang w:val="en-US" w:eastAsia="zh-CN"/>
              </w:rPr>
            </w:pPr>
          </w:p>
          <w:p w14:paraId="48D8985A">
            <w:pPr>
              <w:pStyle w:val="4"/>
              <w:ind w:left="0" w:leftChars="0" w:firstLine="0" w:firstLineChars="0"/>
              <w:jc w:val="both"/>
              <w:rPr>
                <w:rFonts w:hint="eastAsia"/>
                <w:sz w:val="21"/>
                <w:szCs w:val="21"/>
                <w:vertAlign w:val="baseline"/>
                <w:lang w:val="en-US" w:eastAsia="zh-CN"/>
              </w:rPr>
            </w:pPr>
          </w:p>
          <w:p w14:paraId="1AD47F3A">
            <w:pPr>
              <w:pStyle w:val="4"/>
              <w:ind w:left="0" w:leftChars="0" w:firstLine="210" w:firstLineChars="100"/>
              <w:jc w:val="both"/>
              <w:rPr>
                <w:rFonts w:hint="eastAsia" w:eastAsia="宋体"/>
                <w:sz w:val="21"/>
                <w:szCs w:val="21"/>
                <w:vertAlign w:val="baseline"/>
                <w:lang w:val="en-US" w:eastAsia="zh-CN"/>
              </w:rPr>
            </w:pPr>
            <w:r>
              <w:rPr>
                <w:rFonts w:hint="eastAsia"/>
                <w:sz w:val="21"/>
                <w:szCs w:val="21"/>
                <w:vertAlign w:val="baseline"/>
                <w:lang w:val="en-US" w:eastAsia="zh-CN"/>
              </w:rPr>
              <w:t>1</w:t>
            </w:r>
          </w:p>
        </w:tc>
      </w:tr>
    </w:tbl>
    <w:p w14:paraId="36EF4266">
      <w:pPr>
        <w:pStyle w:val="3"/>
        <w:pageBreakBefore w:val="0"/>
        <w:kinsoku/>
        <w:overflowPunct/>
        <w:topLinePunct w:val="0"/>
        <w:bidi w:val="0"/>
        <w:snapToGrid/>
        <w:spacing w:line="420" w:lineRule="exact"/>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三、相关要求</w:t>
      </w:r>
    </w:p>
    <w:p w14:paraId="785F10AF">
      <w:pPr>
        <w:pStyle w:val="3"/>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1、项目背景</w:t>
      </w:r>
    </w:p>
    <w:p w14:paraId="4E0F2741">
      <w:pPr>
        <w:pStyle w:val="3"/>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lang w:val="en-US" w:eastAsia="zh-CN"/>
        </w:rPr>
        <w:t>安庆市第二人民医院</w:t>
      </w:r>
      <w:r>
        <w:rPr>
          <w:rFonts w:hint="eastAsia" w:hAnsi="宋体"/>
          <w:b w:val="0"/>
          <w:color w:val="auto"/>
          <w:kern w:val="2"/>
          <w:sz w:val="21"/>
          <w:szCs w:val="21"/>
          <w:highlight w:val="none"/>
        </w:rPr>
        <w:t>为防止医院污水污染环境、预防疾病传播和保障人体健康，医院按1000m³/d设计污水处理站。医院检验科、洗相室、食堂餐饮等特殊废水在进入本污水处理站前均需单独收集并进行预处理方可排入。本污水处理站采取“调节池+二级生化处理+消毒工艺”。污水处理站出水需达到《医疗机构水污染物排放标准》GB18466-2005表2的规定。</w:t>
      </w:r>
    </w:p>
    <w:p w14:paraId="5D0D6559">
      <w:pPr>
        <w:pStyle w:val="3"/>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2、设计水质水量</w:t>
      </w:r>
    </w:p>
    <w:p w14:paraId="0B6EC071">
      <w:pPr>
        <w:pStyle w:val="3"/>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1.2.1 设计水量</w:t>
      </w:r>
    </w:p>
    <w:p w14:paraId="5B6D5FD8">
      <w:pPr>
        <w:pStyle w:val="3"/>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设计日污水处理量：1000m3/d；时污水处理量：41.7m3/h（采用24个小时连续排放）。</w:t>
      </w:r>
    </w:p>
    <w:p w14:paraId="6B59606D">
      <w:pPr>
        <w:pStyle w:val="3"/>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1.2.2设计进水水质</w:t>
      </w:r>
    </w:p>
    <w:p w14:paraId="3516A9D4">
      <w:pPr>
        <w:pStyle w:val="3"/>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本工程设计进水水质参照《医院污水处理工程技术规范》HJ2029-2013标准，即：CODcr≤300mg/L、BOD5≤150mg/L、SS≤120mg/L、NH3-N≤50 mg/L、粪大肠杆菌≤3.0×108个/L。</w:t>
      </w:r>
    </w:p>
    <w:p w14:paraId="75E41112">
      <w:pPr>
        <w:pStyle w:val="3"/>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3、排放标准 </w:t>
      </w:r>
    </w:p>
    <w:p w14:paraId="44BDD22E">
      <w:pPr>
        <w:pStyle w:val="3"/>
        <w:ind w:firstLine="411" w:firstLineChars="196"/>
        <w:rPr>
          <w:rFonts w:hint="eastAsia" w:hAnsi="宋体" w:eastAsia="宋体" w:cs="宋体"/>
          <w:sz w:val="21"/>
          <w:szCs w:val="21"/>
          <w:highlight w:val="none"/>
          <w:lang w:val="en-US" w:eastAsia="zh-CN"/>
        </w:rPr>
      </w:pPr>
      <w:r>
        <w:rPr>
          <w:rFonts w:hint="eastAsia" w:hAnsi="宋体"/>
          <w:b w:val="0"/>
          <w:color w:val="auto"/>
          <w:kern w:val="2"/>
          <w:sz w:val="21"/>
          <w:szCs w:val="21"/>
          <w:highlight w:val="none"/>
        </w:rPr>
        <w:t>处理后出水水质达到《医疗机构水污染物排放标准》GB18466-2005表2的规定。</w:t>
      </w:r>
    </w:p>
    <w:p w14:paraId="740A1EA3">
      <w:pPr>
        <w:pStyle w:val="3"/>
        <w:pageBreakBefore w:val="0"/>
        <w:kinsoku/>
        <w:overflowPunct/>
        <w:topLinePunct w:val="0"/>
        <w:bidi w:val="0"/>
        <w:snapToGrid/>
        <w:spacing w:line="420" w:lineRule="exact"/>
        <w:ind w:firstLine="413" w:firstLineChars="196"/>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四</w:t>
      </w:r>
      <w:r>
        <w:rPr>
          <w:rFonts w:hint="eastAsia" w:ascii="宋体" w:hAnsi="宋体" w:eastAsia="宋体" w:cs="宋体"/>
          <w:sz w:val="21"/>
          <w:szCs w:val="21"/>
          <w:highlight w:val="none"/>
        </w:rPr>
        <w:t>、人员培训要求</w:t>
      </w:r>
      <w:bookmarkEnd w:id="6"/>
      <w:bookmarkEnd w:id="7"/>
      <w:bookmarkEnd w:id="8"/>
      <w:bookmarkEnd w:id="9"/>
      <w:bookmarkEnd w:id="10"/>
    </w:p>
    <w:p w14:paraId="6374D70F">
      <w:pPr>
        <w:pageBreakBefore w:val="0"/>
        <w:widowControl/>
        <w:kinsoku/>
        <w:overflowPunct/>
        <w:topLinePunct w:val="0"/>
        <w:bidi w:val="0"/>
        <w:snapToGrid/>
        <w:spacing w:line="4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货物安装、调试、验收合格后，中标人应对招标人的相关人员进行免费现场培训。培训内容包括基本操作、保养维修、常见故障及解决办法等。</w:t>
      </w:r>
    </w:p>
    <w:p w14:paraId="6F4ADB1D">
      <w:pPr>
        <w:pStyle w:val="3"/>
        <w:pageBreakBefore w:val="0"/>
        <w:kinsoku/>
        <w:overflowPunct/>
        <w:topLinePunct w:val="0"/>
        <w:bidi w:val="0"/>
        <w:snapToGrid/>
        <w:spacing w:line="420" w:lineRule="exact"/>
        <w:ind w:firstLine="413" w:firstLineChars="196"/>
        <w:textAlignment w:val="auto"/>
        <w:rPr>
          <w:rFonts w:hint="eastAsia" w:ascii="宋体" w:hAnsi="宋体" w:eastAsia="宋体" w:cs="宋体"/>
          <w:sz w:val="21"/>
          <w:szCs w:val="21"/>
          <w:highlight w:val="none"/>
        </w:rPr>
      </w:pPr>
      <w:bookmarkStart w:id="11" w:name="_Toc490682727"/>
      <w:bookmarkStart w:id="12" w:name="_Toc18380"/>
      <w:bookmarkStart w:id="13" w:name="_Toc21193"/>
      <w:bookmarkStart w:id="14" w:name="_Toc3184"/>
      <w:bookmarkStart w:id="15" w:name="_Toc17601"/>
      <w:r>
        <w:rPr>
          <w:rFonts w:hint="eastAsia" w:hAnsi="宋体" w:eastAsia="宋体" w:cs="宋体"/>
          <w:sz w:val="21"/>
          <w:szCs w:val="21"/>
          <w:highlight w:val="none"/>
          <w:lang w:val="en-US" w:eastAsia="zh-CN"/>
        </w:rPr>
        <w:t>五</w:t>
      </w:r>
      <w:r>
        <w:rPr>
          <w:rFonts w:hint="eastAsia" w:ascii="宋体" w:hAnsi="宋体" w:eastAsia="宋体" w:cs="宋体"/>
          <w:sz w:val="21"/>
          <w:szCs w:val="21"/>
          <w:highlight w:val="none"/>
        </w:rPr>
        <w:t>、货物质量及售后服务要求</w:t>
      </w:r>
      <w:bookmarkEnd w:id="11"/>
      <w:bookmarkEnd w:id="12"/>
      <w:bookmarkEnd w:id="13"/>
      <w:bookmarkEnd w:id="14"/>
      <w:bookmarkEnd w:id="15"/>
    </w:p>
    <w:p w14:paraId="192D3DE6">
      <w:pPr>
        <w:pageBreakBefore w:val="0"/>
        <w:widowControl/>
        <w:kinsoku/>
        <w:overflowPunct/>
        <w:topLinePunct w:val="0"/>
        <w:bidi w:val="0"/>
        <w:snapToGrid/>
        <w:spacing w:line="4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货物质量：中标人提供的货物必须是全新、原装、合格正品，完全符合国家规定的质量标准和厂方的标准。货物完好，配件齐全。</w:t>
      </w:r>
    </w:p>
    <w:p w14:paraId="3422B400">
      <w:pPr>
        <w:pageBreakBefore w:val="0"/>
        <w:widowControl/>
        <w:kinsoku/>
        <w:overflowPunct/>
        <w:topLinePunct w:val="0"/>
        <w:bidi w:val="0"/>
        <w:snapToGrid/>
        <w:spacing w:line="4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保修及售后服务：依据商品的保修条款及售后服务条款，提供原厂质保，质保期按照国家规定，且不低于所供品牌向用户承诺的质保期限。招标文件另有约定的从其约定。质保期从货物验收合格后算起。</w:t>
      </w:r>
    </w:p>
    <w:p w14:paraId="680E9688">
      <w:pPr>
        <w:pStyle w:val="3"/>
        <w:pageBreakBefore w:val="0"/>
        <w:kinsoku/>
        <w:overflowPunct/>
        <w:topLinePunct w:val="0"/>
        <w:bidi w:val="0"/>
        <w:snapToGrid/>
        <w:spacing w:line="420" w:lineRule="exact"/>
        <w:ind w:firstLine="413" w:firstLineChars="196"/>
        <w:textAlignment w:val="auto"/>
        <w:rPr>
          <w:rFonts w:hint="eastAsia" w:ascii="宋体" w:hAnsi="宋体" w:eastAsia="宋体" w:cs="宋体"/>
          <w:sz w:val="21"/>
          <w:szCs w:val="21"/>
          <w:highlight w:val="none"/>
        </w:rPr>
      </w:pPr>
      <w:bookmarkStart w:id="16" w:name="_Toc23093"/>
      <w:bookmarkStart w:id="17" w:name="_Toc490682728"/>
      <w:bookmarkStart w:id="18" w:name="_Toc14892"/>
      <w:bookmarkStart w:id="19" w:name="_Toc22545"/>
      <w:bookmarkStart w:id="20" w:name="_Toc7671"/>
      <w:r>
        <w:rPr>
          <w:rFonts w:hint="eastAsia" w:hAnsi="宋体" w:eastAsia="宋体" w:cs="宋体"/>
          <w:sz w:val="21"/>
          <w:szCs w:val="21"/>
          <w:highlight w:val="none"/>
          <w:lang w:val="en-US" w:eastAsia="zh-CN"/>
        </w:rPr>
        <w:t>六</w:t>
      </w:r>
      <w:r>
        <w:rPr>
          <w:rFonts w:hint="eastAsia" w:ascii="宋体" w:hAnsi="宋体" w:eastAsia="宋体" w:cs="宋体"/>
          <w:sz w:val="21"/>
          <w:szCs w:val="21"/>
          <w:highlight w:val="none"/>
        </w:rPr>
        <w:t>、验收</w:t>
      </w:r>
      <w:bookmarkEnd w:id="16"/>
      <w:bookmarkEnd w:id="17"/>
      <w:bookmarkEnd w:id="18"/>
      <w:bookmarkEnd w:id="19"/>
      <w:bookmarkEnd w:id="20"/>
    </w:p>
    <w:p w14:paraId="79029421">
      <w:pPr>
        <w:pageBreakBefore w:val="0"/>
        <w:kinsoku/>
        <w:overflowPunct/>
        <w:topLinePunct w:val="0"/>
        <w:bidi w:val="0"/>
        <w:snapToGrid/>
        <w:spacing w:line="420" w:lineRule="exact"/>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 xml:space="preserve">    中标人和招标人双方共同实施验收工作，结果和验收报告经双方确认后生效。</w:t>
      </w:r>
    </w:p>
    <w:bookmarkEnd w:id="1"/>
    <w:p w14:paraId="1D10C4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0AE05"/>
    <w:multiLevelType w:val="singleLevel"/>
    <w:tmpl w:val="93C0AE05"/>
    <w:lvl w:ilvl="0" w:tentative="0">
      <w:start w:val="1"/>
      <w:numFmt w:val="chineseCounting"/>
      <w:suff w:val="nothing"/>
      <w:lvlText w:val="%1、"/>
      <w:lvlJc w:val="left"/>
    </w:lvl>
  </w:abstractNum>
  <w:abstractNum w:abstractNumId="1">
    <w:nsid w:val="C544EF8E"/>
    <w:multiLevelType w:val="singleLevel"/>
    <w:tmpl w:val="C544EF8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F06E1"/>
    <w:rsid w:val="1E1F06E1"/>
    <w:rsid w:val="25207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3"/>
    <w:basedOn w:val="1"/>
    <w:next w:val="4"/>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autoSpaceDE w:val="0"/>
      <w:autoSpaceDN w:val="0"/>
      <w:adjustRightInd w:val="0"/>
      <w:ind w:firstLine="420"/>
      <w:jc w:val="left"/>
    </w:pPr>
    <w:rPr>
      <w:rFonts w:ascii="宋体"/>
      <w:kern w:val="0"/>
      <w:sz w:val="24"/>
      <w:szCs w:val="20"/>
    </w:rPr>
  </w:style>
  <w:style w:type="paragraph" w:styleId="5">
    <w:name w:val="Plain Text"/>
    <w:basedOn w:val="1"/>
    <w:next w:val="1"/>
    <w:qFormat/>
    <w:uiPriority w:val="0"/>
    <w:rPr>
      <w:rFonts w:ascii="宋体" w:hAnsi="Courier New"/>
      <w:szCs w:val="20"/>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2025-02-14T01:18:00Z</dcterms:created>
  <dc:creator>BLUE</dc:creator>
  <cp:lastModifiedBy>BLUE</cp:lastModifiedBy>
  <dcterms:modified xsi:type="dcterms:W3CDTF">2025-02-14T01:19:03Z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7214B0C90CFB4632B1B727812672EA76_11</vt:lpwstr>
  </property>
  <property fmtid="{D5CDD505-2E9C-101B-9397-08002B2CF9AE}" pid="4" name="KSOTemplateDocerSaveRecord">
    <vt:lpwstr>eyJoZGlkIjoiYTJjYjZjNWUwNmUwOTY3ZTE3YzZhZmNmOWMyOGYxNTgiLCJ1c2VySWQiOiI2MzQ3MTk0ODQifQ==</vt:lpwstr>
  </property>
</Properties>
</file>