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sz w:val="40"/>
          <w:szCs w:val="40"/>
          <w:lang w:val="en-US" w:eastAsia="zh-CN"/>
        </w:rPr>
      </w:pPr>
      <w:bookmarkStart w:id="13" w:name="_GoBack"/>
      <w:bookmarkStart w:id="0" w:name="_Toc21812"/>
      <w:r>
        <w:rPr>
          <w:rFonts w:hint="eastAsia" w:ascii="仿宋" w:hAnsi="仿宋" w:eastAsia="仿宋" w:cs="仿宋"/>
          <w:sz w:val="40"/>
          <w:szCs w:val="40"/>
          <w:lang w:val="en-US" w:eastAsia="zh-CN"/>
        </w:rPr>
        <w:t>采购需求</w:t>
      </w:r>
    </w:p>
    <w:bookmarkEnd w:id="13"/>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前言</w:t>
      </w:r>
      <w:bookmarkEnd w:id="0"/>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此项目包含总院区、眼科医院院区污水处理站的托管运营，托管运营时间暂定一年。污水处理站托管运营费用约为25万元/年（两个院区合计）。</w:t>
      </w:r>
    </w:p>
    <w:p>
      <w:pPr>
        <w:pStyle w:val="3"/>
        <w:keepNext/>
        <w:keepLines/>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firstLine="562" w:firstLineChars="200"/>
        <w:jc w:val="both"/>
        <w:textAlignment w:val="auto"/>
        <w:rPr>
          <w:rFonts w:hint="eastAsia" w:ascii="仿宋" w:hAnsi="仿宋" w:eastAsia="仿宋" w:cs="仿宋"/>
          <w:sz w:val="28"/>
          <w:szCs w:val="28"/>
          <w:lang w:val="en-US" w:eastAsia="zh-CN"/>
        </w:rPr>
      </w:pPr>
      <w:bookmarkStart w:id="1" w:name="_Toc17325"/>
      <w:bookmarkStart w:id="2" w:name="_Toc12446"/>
      <w:r>
        <w:rPr>
          <w:rFonts w:hint="eastAsia" w:ascii="仿宋" w:hAnsi="仿宋" w:eastAsia="仿宋" w:cs="仿宋"/>
          <w:sz w:val="28"/>
          <w:szCs w:val="28"/>
          <w:lang w:val="en-US" w:eastAsia="zh-CN"/>
        </w:rPr>
        <w:t>本部院区、眼科医院院区污水处理站概况</w:t>
      </w:r>
      <w:bookmarkEnd w:id="1"/>
      <w:bookmarkEnd w:id="2"/>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部院区与眼科医院均设有污水处理站，其中本部院区属于重点排污单位管理。本部院区设备包含：COD,氨氮检测设备，数采仪，自动水质采样仪，PH计，流量计，加药设备，淤泥处置设备等;眼科医院设备包含：混凝池，沉淀池，消毒池，加药设备，控制系统等。（现场查勘由招标代理机构设置查勘周期，自行查勘。）</w:t>
      </w:r>
    </w:p>
    <w:p>
      <w:pPr>
        <w:pStyle w:val="3"/>
        <w:pageBreakBefore w:val="0"/>
        <w:widowControl w:val="0"/>
        <w:numPr>
          <w:ilvl w:val="0"/>
          <w:numId w:val="2"/>
        </w:numPr>
        <w:kinsoku/>
        <w:wordWrap/>
        <w:overflowPunct/>
        <w:topLinePunct w:val="0"/>
        <w:autoSpaceDE/>
        <w:autoSpaceDN/>
        <w:bidi w:val="0"/>
        <w:adjustRightInd/>
        <w:snapToGrid/>
        <w:spacing w:line="560" w:lineRule="exact"/>
        <w:ind w:leftChars="0" w:firstLine="562" w:firstLineChars="200"/>
        <w:jc w:val="both"/>
        <w:textAlignment w:val="auto"/>
        <w:rPr>
          <w:rFonts w:hint="eastAsia" w:ascii="仿宋" w:hAnsi="仿宋" w:eastAsia="仿宋" w:cs="仿宋"/>
          <w:sz w:val="28"/>
          <w:szCs w:val="28"/>
          <w:lang w:val="en-US" w:eastAsia="zh-CN"/>
        </w:rPr>
      </w:pPr>
      <w:bookmarkStart w:id="3" w:name="_Toc7563"/>
      <w:bookmarkStart w:id="4" w:name="_Toc18701"/>
      <w:r>
        <w:rPr>
          <w:rFonts w:hint="eastAsia" w:ascii="仿宋" w:hAnsi="仿宋" w:eastAsia="仿宋" w:cs="仿宋"/>
          <w:sz w:val="28"/>
          <w:szCs w:val="28"/>
          <w:lang w:val="en-US" w:eastAsia="zh-CN"/>
        </w:rPr>
        <w:t>托管运营方案</w:t>
      </w:r>
      <w:bookmarkEnd w:id="3"/>
      <w:bookmarkEnd w:id="4"/>
      <w:r>
        <w:rPr>
          <w:rFonts w:hint="eastAsia" w:ascii="仿宋" w:hAnsi="仿宋" w:eastAsia="仿宋" w:cs="仿宋"/>
          <w:sz w:val="28"/>
          <w:szCs w:val="28"/>
          <w:lang w:val="en-US" w:eastAsia="zh-CN"/>
        </w:rPr>
        <w:t>基本要求</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污水处理站运维：包含设备维护，定期检查与保养，出现故障及时检修并报备标记(产生的设备配件更换费用由我院承担)。药剂购买及按实际需求设置加药方案，确保出水水质符合环保要求（设计出水量为600t/d）。配备现场24小时驻点人员1名。淤泥抽取与干化，存储于我院指定地点（转运处置费用由发投处置）。</w:t>
      </w:r>
    </w:p>
    <w:p>
      <w:pPr>
        <w:pStyle w:val="7"/>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本部院区依据环保重点排污单位管理要求提供正常的各项数据收集与采样检测，各种台账需齐全，采样检测报表需及时出具存档（包括但不限于水质在线监测设备的维护与定期比对，必须符合重点排污单位管理要求的各种监测）。在线监测平台的数据登记等工作。眼科医院的日常台账建立及相关检测（非重点排污单位），淤泥处置等工作。</w:t>
      </w:r>
    </w:p>
    <w:p>
      <w:pPr>
        <w:pStyle w:val="7"/>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3.各种污水处理站相关制度上墙。</w:t>
      </w:r>
    </w:p>
    <w:p>
      <w:pPr>
        <w:pStyle w:val="7"/>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4.有应对突发事件或故障的应急预案。</w:t>
      </w:r>
    </w:p>
    <w:p>
      <w:pPr>
        <w:pStyle w:val="7"/>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5.保障污水处理站的内外环境。</w:t>
      </w:r>
    </w:p>
    <w:p>
      <w:pPr>
        <w:pStyle w:val="7"/>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6.熟悉操作我院污水处理站的各种设备如：COD，氨氮，PH计，数采仪，流量计，监控，淤泥处置设备等。</w:t>
      </w:r>
    </w:p>
    <w:p>
      <w:pPr>
        <w:pStyle w:val="7"/>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7.医院环境自行监测：依照排污许可证要求手工监测。</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60" w:lineRule="exact"/>
        <w:ind w:firstLine="562" w:firstLineChars="200"/>
        <w:jc w:val="both"/>
        <w:textAlignment w:val="auto"/>
        <w:rPr>
          <w:rFonts w:hint="eastAsia" w:ascii="仿宋" w:hAnsi="仿宋" w:eastAsia="仿宋" w:cs="仿宋"/>
          <w:sz w:val="28"/>
          <w:szCs w:val="28"/>
          <w:lang w:val="en-US" w:eastAsia="zh-CN"/>
        </w:rPr>
      </w:pPr>
      <w:bookmarkStart w:id="5" w:name="_Toc10872"/>
      <w:bookmarkStart w:id="6" w:name="_Toc1998"/>
      <w:r>
        <w:rPr>
          <w:rFonts w:hint="eastAsia" w:ascii="仿宋" w:hAnsi="仿宋" w:eastAsia="仿宋" w:cs="仿宋"/>
          <w:sz w:val="28"/>
          <w:szCs w:val="28"/>
          <w:lang w:val="en-US" w:eastAsia="zh-CN"/>
        </w:rPr>
        <w:t>（一）托管运营原因</w:t>
      </w:r>
      <w:bookmarkEnd w:id="5"/>
      <w:bookmarkEnd w:id="6"/>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随着国内环保重视程度的不断提高，环境保护法律法规越来越健全，针对污水排放标准和管控程度更趋严格。为了进一步规范和加强我院污水处理站的操作管理工作，提高工艺运行水平，确保我院的污水处理达标排放，建议将我院污水处理站托管于第三方专业环保公司运营管理。</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为满足医院污水专业化托管运营需求，特编制此方案，其原因如下：</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医院污水处理系统整体运行操作要求专业性很强，而我院总务科相关人员都非专业出身，对污水处理工艺掌握程度不够，易造成污水的出水水质不稳定，并且当真正遇到应急事件时也不知道该如何正确处理，容易对我院造成负面影响和经济损失。</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污水站交由第三方专业环保公司托管运营，有利于整个污水站污水处理设备、设施的日常维护保养，可以提高污水站的运行水平及效率，增加污水站设备的使用年限，无形中帮助我院节约能源和减少污水站维保资金。</w:t>
      </w:r>
    </w:p>
    <w:p>
      <w:pPr>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污水站托管运营也有利于我院的风险控制，委托第三方后负责院区医疗污水、废水的集中收集、处理、消毒达标排放，并服从环保部门及我院的监督管理，按要求定期进行污水取样、检测，并提供合格的检测报告。</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60" w:lineRule="exact"/>
        <w:ind w:firstLine="562" w:firstLineChars="200"/>
        <w:jc w:val="both"/>
        <w:textAlignment w:val="auto"/>
        <w:rPr>
          <w:rFonts w:hint="eastAsia" w:ascii="仿宋" w:hAnsi="仿宋" w:eastAsia="仿宋" w:cs="仿宋"/>
          <w:sz w:val="28"/>
          <w:szCs w:val="28"/>
          <w:lang w:val="en-US" w:eastAsia="zh-CN"/>
        </w:rPr>
      </w:pPr>
      <w:bookmarkStart w:id="7" w:name="_Toc19511"/>
      <w:bookmarkStart w:id="8" w:name="_Toc23248"/>
      <w:r>
        <w:rPr>
          <w:rFonts w:hint="eastAsia" w:ascii="仿宋" w:hAnsi="仿宋" w:eastAsia="仿宋" w:cs="仿宋"/>
          <w:sz w:val="28"/>
          <w:szCs w:val="28"/>
          <w:lang w:val="en-US" w:eastAsia="zh-CN"/>
        </w:rPr>
        <w:t>（二）托管运营具体方案</w:t>
      </w:r>
      <w:bookmarkEnd w:id="7"/>
      <w:bookmarkEnd w:id="8"/>
    </w:p>
    <w:p>
      <w:pPr>
        <w:pageBreakBefore w:val="0"/>
        <w:widowControl w:val="0"/>
        <w:kinsoku/>
        <w:wordWrap/>
        <w:overflowPunct/>
        <w:topLinePunct w:val="0"/>
        <w:autoSpaceDE/>
        <w:autoSpaceDN/>
        <w:bidi w:val="0"/>
        <w:adjustRightInd/>
        <w:snapToGrid/>
        <w:spacing w:line="560" w:lineRule="exact"/>
        <w:ind w:left="0" w:leftChars="0" w:firstLine="562" w:firstLineChars="200"/>
        <w:textAlignment w:val="auto"/>
        <w:outlineLvl w:val="1"/>
        <w:rPr>
          <w:rFonts w:hint="eastAsia" w:ascii="仿宋" w:hAnsi="仿宋" w:eastAsia="仿宋" w:cs="仿宋"/>
          <w:b/>
          <w:bCs/>
          <w:sz w:val="28"/>
          <w:szCs w:val="28"/>
          <w:lang w:val="en-US" w:eastAsia="zh-CN"/>
        </w:rPr>
      </w:pPr>
      <w:bookmarkStart w:id="9" w:name="_Toc8219"/>
      <w:bookmarkStart w:id="10" w:name="_Toc28137"/>
      <w:r>
        <w:rPr>
          <w:rFonts w:hint="eastAsia" w:ascii="仿宋" w:hAnsi="仿宋" w:eastAsia="仿宋" w:cs="仿宋"/>
          <w:b/>
          <w:bCs/>
          <w:sz w:val="28"/>
          <w:szCs w:val="28"/>
          <w:lang w:val="en-US" w:eastAsia="zh-CN"/>
        </w:rPr>
        <w:t>1、运营服务内容</w:t>
      </w:r>
      <w:bookmarkEnd w:id="9"/>
      <w:bookmarkEnd w:id="10"/>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负责管理、操控医院污水处理系统的运营。包括污水的处理、水质分析化验、设备的维护保养及向相关部门提供各类所需要的环保处理数据等。负责污水处理站全部设备的管理和操作工作。配备专职操作人员负责污水处理设备的24小时正常运转，保证污水站系统设备运行正常，出水达标排放；负责污水处理站全部设备和相关管道、辅助设施的日常保养和维护工作；</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（2）定期安排专业技术人员对污水处理设备进行有计划地检查和例行保养，按国家行业标准和保养规范进行全面维保，确保污水处理设备正常稳定运行，确保设备使用寿命；</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（3）在接到现场设备问题招修后，第一时间到达现场进行维修；</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（4）每季度一次的污水第三方检测以及日常的污水自检工作；</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（5）出水水质达到《医疗机构水污染物排放标准》（GB18466-2005）中预处理排放标准要求；</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（6）设备操作、维修和维护工作均及时有效，并做好安全预防工作，防止安全事故发生；</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（7）负责维护污水站内外池体、设备等的外观美化整洁，给医院以良好的建筑形象及环境。</w:t>
      </w:r>
    </w:p>
    <w:p>
      <w:pPr>
        <w:pStyle w:val="7"/>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（投标方提供的运维方案必须依据环保规范及招标文件要求呈现：包括但不限于如运维的具体流程方案，水处理药剂的名称及加药方案，各种检测的周期及标准，在线监测的平台登记等内容）</w:t>
      </w:r>
    </w:p>
    <w:p>
      <w:pPr>
        <w:pStyle w:val="3"/>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sz w:val="28"/>
          <w:szCs w:val="28"/>
          <w:lang w:val="en-US" w:eastAsia="zh-CN"/>
        </w:rPr>
      </w:pPr>
      <w:bookmarkStart w:id="11" w:name="_Toc16784"/>
      <w:bookmarkStart w:id="12" w:name="_Toc12528"/>
      <w:r>
        <w:rPr>
          <w:rFonts w:hint="eastAsia" w:ascii="仿宋" w:hAnsi="仿宋" w:eastAsia="仿宋" w:cs="仿宋"/>
          <w:sz w:val="28"/>
          <w:szCs w:val="28"/>
          <w:lang w:val="en-US" w:eastAsia="zh-CN"/>
        </w:rPr>
        <w:t>三、总结</w:t>
      </w:r>
      <w:bookmarkEnd w:id="11"/>
      <w:bookmarkEnd w:id="12"/>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本部院区污水处理存在日常监测数据不能及时更新，对于突发事件反应不及时，相关污水处理资料收集不到位，设备保养及数据登记相关台账建立不齐全等现象。</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院本部院区属于重点排污单位，污水站已安装在线监测设备用于实时监测水质状况，且已与环保部门联网，数据实时上传到国家、省监测平台，如出现严重超标会存在环保处罚等风险。眼科医院属于非重点排污单位，但需要依据相关环保法规进行日常的加药，检测，台账的建立以及设备的维护。</w:t>
      </w:r>
    </w:p>
    <w:p>
      <w:pPr>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鉴于以上所述情况，我院亟需改善目前污水处理运维的现状，按规范进行建设，体现我院“维护国家环保战略，促进人类健康发展”的社会责任与担当。</w:t>
      </w:r>
    </w:p>
    <w:p>
      <w:pPr>
        <w:pStyle w:val="10"/>
        <w:ind w:firstLine="480" w:firstLineChars="200"/>
        <w:rPr>
          <w:rFonts w:hint="eastAsia" w:eastAsia="仿宋"/>
          <w:color w:va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1049B3"/>
    <w:multiLevelType w:val="singleLevel"/>
    <w:tmpl w:val="2F1049B3"/>
    <w:lvl w:ilvl="0" w:tentative="0">
      <w:start w:val="2"/>
      <w:numFmt w:val="chineseCounting"/>
      <w:suff w:val="nothing"/>
      <w:lvlText w:val="%1、"/>
      <w:lvlJc w:val="left"/>
      <w:rPr>
        <w:rFonts w:hint="eastAsia"/>
      </w:rPr>
    </w:lvl>
  </w:abstractNum>
  <w:abstractNum w:abstractNumId="1">
    <w:nsid w:val="657D9D02"/>
    <w:multiLevelType w:val="singleLevel"/>
    <w:tmpl w:val="657D9D0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5D080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2"/>
    <w:basedOn w:val="1"/>
    <w:next w:val="1"/>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lang w:val="zh-CN"/>
    </w:r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pPr>
    <w:rPr>
      <w:rFonts w:ascii="Arial" w:hAnsi="Arial"/>
    </w:rPr>
  </w:style>
  <w:style w:type="paragraph" w:styleId="7">
    <w:name w:val="Body Text First Indent 2"/>
    <w:basedOn w:val="5"/>
    <w:qFormat/>
    <w:uiPriority w:val="0"/>
    <w:pPr>
      <w:ind w:firstLine="420" w:firstLineChars="200"/>
    </w:pPr>
  </w:style>
  <w:style w:type="paragraph" w:customStyle="1" w:styleId="10">
    <w:name w:val="Default"/>
    <w:autoRedefine/>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2024-03-11T09:38:57Z</dcterms:created>
  <dc:creator>Administrator</dc:creator>
  <cp:lastModifiedBy>W西瓜味的美少女</cp:lastModifiedBy>
  <dcterms:modified xsi:type="dcterms:W3CDTF">2024-03-11T09:39:45Z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C75CE6C5DD2F4929B4B14B61AD6A4ECB_12</vt:lpwstr>
  </property>
</Properties>
</file>