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采购内容及技术参数要求</w:t>
      </w:r>
    </w:p>
    <w:tbl>
      <w:tblPr>
        <w:tblStyle w:val="7"/>
        <w:tblW w:w="114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2365"/>
        <w:gridCol w:w="6404"/>
        <w:gridCol w:w="508"/>
        <w:gridCol w:w="732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6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产品技术要求</w:t>
            </w: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预算单</w:t>
            </w:r>
            <w:bookmarkStart w:id="2" w:name="_GoBack"/>
            <w:bookmarkEnd w:id="2"/>
            <w:r>
              <w:rPr>
                <w:rFonts w:hint="eastAsia"/>
                <w:vertAlign w:val="baseline"/>
                <w:lang w:val="en-US" w:eastAsia="zh-CN"/>
              </w:rPr>
              <w:t>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牵扯钳（包括：王氏钳、专用气腹针、导引钢丝、隧道针）</w:t>
            </w:r>
          </w:p>
        </w:tc>
        <w:tc>
          <w:tcPr>
            <w:tcW w:w="6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王氏钳辅助的腹膜透析导管技术，分为三种方式：1、腹透微创置管固定术；2、腹透开放置管微创固定术；3、保留隧道导管复位术。</w:t>
            </w: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套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经皮穿刺套件</w:t>
            </w:r>
          </w:p>
        </w:tc>
        <w:tc>
          <w:tcPr>
            <w:tcW w:w="6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腹膜透析置管用，可撕开鞘，20Fr</w:t>
            </w: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365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腹膜透析导管及附件</w:t>
            </w:r>
          </w:p>
        </w:tc>
        <w:tc>
          <w:tcPr>
            <w:tcW w:w="6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用于急性、慢性腹膜透析及腹腔内化疗，62cm。</w:t>
            </w: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365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腹膜透析螺旋帽钛接头</w:t>
            </w:r>
          </w:p>
        </w:tc>
        <w:tc>
          <w:tcPr>
            <w:tcW w:w="6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用于腹透导管与带有锁扣接头的外接短管的连接。材料为纯钛，由两部分组成：钛接头和螺旋帽。钛接头为一个双重密封，鲁尔内锁定接头。</w:t>
            </w: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365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腹膜透析外接短管</w:t>
            </w:r>
          </w:p>
        </w:tc>
        <w:tc>
          <w:tcPr>
            <w:tcW w:w="6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于腹膜透析，可与百特螺旋钛接头共同连接于腹膜透析导管，用于与分离管路或循环管路的接合点进行无菌操作连接及分离。由尖端保护帽、浅蓝开关、白色套筒、管路、腹透管连接端口、拉环帽及百特腹透液连接端口组成。</w:t>
            </w: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365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碘液微型盖</w:t>
            </w:r>
          </w:p>
        </w:tc>
        <w:tc>
          <w:tcPr>
            <w:tcW w:w="6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供腹膜透析后保护外接短管的阴极锁定接头时一次性使用。由微型盖、浸润聚维酮碘溶液的海绵和铝箔外包装组成。</w:t>
            </w: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900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365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医用导管夹（蓝夹子）</w:t>
            </w:r>
          </w:p>
        </w:tc>
        <w:tc>
          <w:tcPr>
            <w:tcW w:w="6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用于夹住各种医用塑料导管，控制导管中液体的流动。</w:t>
            </w: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365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导丝</w:t>
            </w:r>
          </w:p>
        </w:tc>
        <w:tc>
          <w:tcPr>
            <w:tcW w:w="6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供临床在手术操作过程中为置入导管或鞘管起到引导路径的作用。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0.035in</w:t>
            </w: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365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电热恒温培养箱</w:t>
            </w:r>
          </w:p>
        </w:tc>
        <w:tc>
          <w:tcPr>
            <w:tcW w:w="6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适用于医疗卫生、医药、生物、农业科研等部门作储藏菌种、生物培养进行的必备设备。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产品特点：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★升级型液晶微电脑智能控温仪，LED显示设定温度和箱内温度，具有因停电、死机状态、数据丢失而保护的参数记忆，来电恢复功能，具有超温、传感器故障、漏电、过流保护、声光报警功能，具有定时功能。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★外门带有观察窗或双层门结构，内胆采用镜面不锈钢，四角圆弧易清洁。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★品牌循环风机和加热管组成的热风循环系统，使箱内温度均匀。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技术参数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容    积：80L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定时范围：1-9999min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电源电压：～220V  50Hz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控温范围：RT+5~65℃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温度波动度：±0.5℃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温度均匀度：±1℃（37℃）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温度分辨率：0.1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消耗功率：≤300W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工作尺寸：400×400×500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外形尺寸：500×560×760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载物托架（块）（标配）：2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   注：不锈钢内胆</w:t>
            </w: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台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365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球囊扩展导管</w:t>
            </w:r>
          </w:p>
        </w:tc>
        <w:tc>
          <w:tcPr>
            <w:tcW w:w="6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1、用于贲门、食道、幽门、肠道扩张用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2、囊体直径：10-35mm，囊体长度40-80mm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3、导管工作长度：900mm-≥2600mm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4、可通过0.035”导丝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5、工作压力2-5atm</w:t>
            </w: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411" w:type="dxa"/>
            <w:gridSpan w:val="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eastAsia="zh-CN"/>
              </w:rPr>
              <w:t>说明：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</w:rPr>
              <w:t>1、投标人的投标文件必须标明所供货物的品牌与参数，保证原厂正品供货，提供相关资料等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eastAsia="zh-CN"/>
              </w:rPr>
              <w:t>，如为进口产品需在备注栏标明进口。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eastAsia="zh-CN"/>
              </w:rPr>
              <w:t>以上技术参数必须全部满足；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如有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</w:rPr>
              <w:t>★项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还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</w:rPr>
              <w:t>需提供技术证明文件之一（医疗器械注册证、医疗器械注册登记表、第三方检测报告、产品技术白皮书、产品使用说明书）予以证明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以上使用量为3年预计采购量，实际以采购人需求为准。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4、本次采购最高限价：人民币拾贰万元整（￥120000.00元）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</w:rPr>
              <w:t>。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line="360" w:lineRule="auto"/>
        <w:textAlignment w:val="auto"/>
        <w:rPr>
          <w:rFonts w:hint="eastAsia" w:hAnsi="宋体"/>
          <w:b/>
          <w:bCs/>
          <w:i w:val="0"/>
          <w:caps w:val="0"/>
          <w:spacing w:val="0"/>
          <w:w w:val="100"/>
          <w:sz w:val="24"/>
          <w:highlight w:val="none"/>
          <w:lang w:val="en-US" w:eastAsia="zh-CN"/>
        </w:rPr>
      </w:pPr>
      <w:r>
        <w:rPr>
          <w:rFonts w:hint="eastAsia" w:hAnsi="宋体"/>
          <w:b/>
          <w:bCs/>
          <w:i w:val="0"/>
          <w:caps w:val="0"/>
          <w:spacing w:val="0"/>
          <w:w w:val="100"/>
          <w:sz w:val="24"/>
          <w:highlight w:val="none"/>
          <w:lang w:val="en-US" w:eastAsia="zh-CN"/>
        </w:rPr>
        <w:t>二、其他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sz w:val="24"/>
          <w:highlight w:val="none"/>
        </w:rPr>
      </w:pPr>
      <w:r>
        <w:rPr>
          <w:rFonts w:hint="eastAsia"/>
          <w:b/>
          <w:sz w:val="24"/>
          <w:highlight w:val="none"/>
        </w:rPr>
        <w:t>（</w:t>
      </w:r>
      <w:r>
        <w:rPr>
          <w:rFonts w:hint="eastAsia"/>
          <w:b/>
          <w:sz w:val="24"/>
          <w:highlight w:val="none"/>
          <w:lang w:val="en-US" w:eastAsia="zh-CN"/>
        </w:rPr>
        <w:t>一</w:t>
      </w:r>
      <w:r>
        <w:rPr>
          <w:rFonts w:hint="eastAsia"/>
          <w:b/>
          <w:sz w:val="24"/>
          <w:highlight w:val="none"/>
        </w:rPr>
        <w:t>）人员培训要求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   </w:t>
      </w:r>
      <w:r>
        <w:rPr>
          <w:rFonts w:hint="eastAsia" w:ascii="宋体" w:hAnsi="宋体"/>
          <w:sz w:val="22"/>
          <w:szCs w:val="22"/>
          <w:highlight w:val="none"/>
        </w:rPr>
        <w:t xml:space="preserve"> 货物安装、调试、验收合格后，中标人应对招标人的相关人员进行免费现场培训。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sz w:val="24"/>
          <w:highlight w:val="none"/>
        </w:rPr>
      </w:pPr>
      <w:bookmarkStart w:id="0" w:name="_Toc21193"/>
      <w:r>
        <w:rPr>
          <w:rFonts w:hint="eastAsia"/>
          <w:b/>
          <w:sz w:val="24"/>
          <w:highlight w:val="none"/>
        </w:rPr>
        <w:t>（</w:t>
      </w:r>
      <w:r>
        <w:rPr>
          <w:rFonts w:hint="eastAsia"/>
          <w:b/>
          <w:sz w:val="24"/>
          <w:highlight w:val="none"/>
          <w:lang w:val="en-US" w:eastAsia="zh-CN"/>
        </w:rPr>
        <w:t>二</w:t>
      </w:r>
      <w:r>
        <w:rPr>
          <w:rFonts w:hint="eastAsia"/>
          <w:b/>
          <w:sz w:val="24"/>
          <w:highlight w:val="none"/>
        </w:rPr>
        <w:t>）货物质量及售后服务要求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/>
          <w:sz w:val="22"/>
          <w:szCs w:val="22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    </w:t>
      </w:r>
      <w:r>
        <w:rPr>
          <w:rFonts w:hint="eastAsia" w:ascii="宋体" w:hAnsi="宋体"/>
          <w:sz w:val="22"/>
          <w:szCs w:val="22"/>
          <w:highlight w:val="none"/>
        </w:rPr>
        <w:t>1、货物质量：中标人提供的货物必须是全新、原装、合格正品，完全符合国家规定的质量标准和厂方的标准。货物完好，配件齐全。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 w:ascii="宋体" w:hAnsi="宋体"/>
          <w:sz w:val="22"/>
          <w:szCs w:val="22"/>
          <w:highlight w:val="none"/>
        </w:rPr>
      </w:pPr>
      <w:r>
        <w:rPr>
          <w:rFonts w:hint="eastAsia" w:ascii="宋体" w:hAnsi="宋体"/>
          <w:sz w:val="22"/>
          <w:szCs w:val="22"/>
          <w:highlight w:val="none"/>
        </w:rPr>
        <w:t>2、保修及售后服务：依据商品的保修条款及售后服务条款，提供原厂质保，质保期按照国家规定，且不低于所供品牌向用户承诺的质保期限。招标文件另有约定的从其约定。质保期从货物验收合格后算起。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sz w:val="24"/>
          <w:highlight w:val="none"/>
        </w:rPr>
      </w:pPr>
      <w:bookmarkStart w:id="1" w:name="_Toc23093"/>
      <w:r>
        <w:rPr>
          <w:rFonts w:hint="eastAsia"/>
          <w:b/>
          <w:sz w:val="24"/>
          <w:highlight w:val="none"/>
        </w:rPr>
        <w:t>（</w:t>
      </w:r>
      <w:r>
        <w:rPr>
          <w:rFonts w:hint="eastAsia"/>
          <w:b/>
          <w:sz w:val="24"/>
          <w:highlight w:val="none"/>
          <w:lang w:val="en-US" w:eastAsia="zh-CN"/>
        </w:rPr>
        <w:t>三</w:t>
      </w:r>
      <w:r>
        <w:rPr>
          <w:rFonts w:hint="eastAsia"/>
          <w:b/>
          <w:sz w:val="24"/>
          <w:highlight w:val="none"/>
        </w:rPr>
        <w:t>）验收</w:t>
      </w:r>
      <w:bookmarkEnd w:id="1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both"/>
        <w:textAlignment w:val="auto"/>
        <w:rPr>
          <w:rFonts w:hint="eastAsia" w:ascii="宋体" w:hAnsi="宋体"/>
          <w:sz w:val="22"/>
          <w:szCs w:val="22"/>
          <w:highlight w:val="none"/>
        </w:rPr>
      </w:pPr>
      <w:r>
        <w:rPr>
          <w:rFonts w:hint="eastAsia" w:ascii="宋体" w:hAnsi="宋体"/>
          <w:sz w:val="22"/>
          <w:szCs w:val="22"/>
          <w:highlight w:val="none"/>
        </w:rPr>
        <w:t>中标人和招标人双方共同实施验收工作，结果和验收报告经双方确认后生效。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/>
          <w:b/>
          <w:sz w:val="24"/>
          <w:highlight w:val="none"/>
          <w:lang w:val="en-US" w:eastAsia="zh-CN"/>
        </w:rPr>
      </w:pPr>
      <w:r>
        <w:rPr>
          <w:rFonts w:hint="eastAsia" w:eastAsia="宋体"/>
          <w:b/>
          <w:sz w:val="24"/>
          <w:highlight w:val="none"/>
          <w:lang w:val="en-US" w:eastAsia="zh-CN"/>
        </w:rPr>
        <w:t>（</w:t>
      </w:r>
      <w:r>
        <w:rPr>
          <w:rFonts w:hint="eastAsia"/>
          <w:b/>
          <w:sz w:val="24"/>
          <w:highlight w:val="none"/>
          <w:lang w:val="en-US" w:eastAsia="zh-CN"/>
        </w:rPr>
        <w:t>四</w:t>
      </w:r>
      <w:r>
        <w:rPr>
          <w:rFonts w:hint="eastAsia" w:eastAsia="宋体"/>
          <w:b/>
          <w:sz w:val="24"/>
          <w:highlight w:val="none"/>
          <w:lang w:val="en-US" w:eastAsia="zh-CN"/>
        </w:rPr>
        <w:t>）付款方式</w:t>
      </w:r>
    </w:p>
    <w:p>
      <w:pPr>
        <w:ind w:firstLine="440" w:firstLineChars="200"/>
        <w:rPr>
          <w:rFonts w:hint="eastAsia" w:ascii="宋体" w:hAnsi="宋体" w:eastAsia="宋体" w:cs="Courier New"/>
          <w:kern w:val="2"/>
          <w:sz w:val="22"/>
          <w:szCs w:val="22"/>
          <w:highlight w:val="none"/>
          <w:lang w:val="en-US" w:eastAsia="zh-CN" w:bidi="ar-SA"/>
        </w:rPr>
      </w:pPr>
      <w:r>
        <w:rPr>
          <w:rFonts w:hint="eastAsia" w:ascii="宋体" w:hAnsi="宋体" w:eastAsia="宋体" w:cs="Courier New"/>
          <w:kern w:val="2"/>
          <w:sz w:val="22"/>
          <w:szCs w:val="22"/>
          <w:highlight w:val="none"/>
          <w:lang w:val="en-US" w:eastAsia="zh-CN" w:bidi="ar-SA"/>
        </w:rPr>
        <w:t>按需供货，按实结算，使用六个月后付款。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 w:cs="Times New Roman"/>
          <w:b/>
          <w:sz w:val="24"/>
          <w:highlight w:val="none"/>
          <w:lang w:val="en-US" w:eastAsia="zh-CN"/>
        </w:rPr>
      </w:pPr>
      <w:r>
        <w:rPr>
          <w:rFonts w:hint="eastAsia" w:eastAsia="宋体" w:cs="Times New Roman"/>
          <w:b/>
          <w:sz w:val="24"/>
          <w:highlight w:val="none"/>
          <w:lang w:val="en-US" w:eastAsia="zh-CN"/>
        </w:rPr>
        <w:t>（五）其他</w:t>
      </w:r>
    </w:p>
    <w:p>
      <w:pPr>
        <w:ind w:firstLine="440" w:firstLineChars="200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宋体" w:hAnsi="宋体" w:eastAsia="宋体" w:cs="Courier New"/>
          <w:kern w:val="2"/>
          <w:sz w:val="22"/>
          <w:szCs w:val="22"/>
          <w:highlight w:val="none"/>
          <w:lang w:val="en-US" w:eastAsia="zh-CN" w:bidi="ar-SA"/>
        </w:rPr>
        <w:t>中标人提供的货物必须满足我院耗材精细化管理的要求(服务费率：供货金额的2%)。</w:t>
      </w: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283" w:right="283" w:bottom="283" w:left="2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OGUzZDdjZWMzOWEzMGQwNzc2YmMxNWIzOWRiOTkifQ=="/>
  </w:docVars>
  <w:rsids>
    <w:rsidRoot w:val="63A65F53"/>
    <w:rsid w:val="048B2A85"/>
    <w:rsid w:val="049D3B67"/>
    <w:rsid w:val="10163F96"/>
    <w:rsid w:val="24D06542"/>
    <w:rsid w:val="28D904C2"/>
    <w:rsid w:val="28E60E12"/>
    <w:rsid w:val="2B9F3DFD"/>
    <w:rsid w:val="2C763F9B"/>
    <w:rsid w:val="2DE5519F"/>
    <w:rsid w:val="30235E2A"/>
    <w:rsid w:val="35EE4E75"/>
    <w:rsid w:val="385A5670"/>
    <w:rsid w:val="3A392285"/>
    <w:rsid w:val="3A4D54AD"/>
    <w:rsid w:val="40A522A6"/>
    <w:rsid w:val="51580123"/>
    <w:rsid w:val="5BCE3D6B"/>
    <w:rsid w:val="63A65F53"/>
    <w:rsid w:val="66215DE5"/>
    <w:rsid w:val="67DC384E"/>
    <w:rsid w:val="6B522D95"/>
    <w:rsid w:val="6DEF67C8"/>
    <w:rsid w:val="6E8B1784"/>
    <w:rsid w:val="7A9E11DB"/>
    <w:rsid w:val="7F35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autoRedefine/>
    <w:qFormat/>
    <w:uiPriority w:val="0"/>
    <w:pPr>
      <w:ind w:left="281" w:leftChars="134"/>
    </w:pPr>
    <w:rPr>
      <w:sz w:val="28"/>
    </w:rPr>
  </w:style>
  <w:style w:type="paragraph" w:styleId="4">
    <w:name w:val="envelope return"/>
    <w:basedOn w:val="1"/>
    <w:unhideWhenUsed/>
    <w:qFormat/>
    <w:uiPriority w:val="0"/>
    <w:pPr>
      <w:snapToGrid w:val="0"/>
    </w:pPr>
    <w:rPr>
      <w:rFonts w:ascii="Arial" w:hAnsi="Arial"/>
    </w:rPr>
  </w:style>
  <w:style w:type="paragraph" w:styleId="5">
    <w:name w:val="Plain Text"/>
    <w:basedOn w:val="1"/>
    <w:next w:val="1"/>
    <w:autoRedefine/>
    <w:qFormat/>
    <w:uiPriority w:val="0"/>
    <w:rPr>
      <w:rFonts w:ascii="宋体" w:hAnsi="Courier New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模板普通正文"/>
    <w:basedOn w:val="3"/>
    <w:autoRedefine/>
    <w:qFormat/>
    <w:uiPriority w:val="0"/>
    <w:pPr>
      <w:widowControl w:val="0"/>
      <w:spacing w:beforeLines="50" w:after="10"/>
      <w:ind w:left="420" w:leftChars="200" w:firstLine="490" w:firstLineChars="175"/>
    </w:pPr>
    <w:rPr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2024-01-04T07:40:00Z</dcterms:created>
  <dc:creator>胡平</dc:creator>
  <cp:lastModifiedBy>W西瓜味的美少女</cp:lastModifiedBy>
  <dcterms:modified xsi:type="dcterms:W3CDTF">2024-03-08T07:15:37Z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5A9AD7646BE9451BBFD3B0CDC30A7592_11</vt:lpwstr>
  </property>
</Properties>
</file>