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autoSpaceDE w:val="0"/>
        <w:autoSpaceDN w:val="0"/>
        <w:adjustRightInd w:val="0"/>
        <w:spacing w:after="240" w:afterLines="100"/>
        <w:jc w:val="center"/>
        <w:outlineLvl w:val="0"/>
        <w:rPr>
          <w:rFonts w:hint="eastAsia" w:ascii="仿宋" w:hAnsi="仿宋" w:eastAsia="仿宋" w:cs="仿宋"/>
          <w:color w:val="auto"/>
          <w:sz w:val="36"/>
          <w:szCs w:val="36"/>
          <w:lang w:val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val="zh-CN"/>
        </w:rPr>
        <w:t>招标项目技术和商务要求</w:t>
      </w:r>
      <w:bookmarkStart w:id="1" w:name="_GoBack"/>
      <w:bookmarkEnd w:id="1"/>
    </w:p>
    <w:p>
      <w:pPr>
        <w:pStyle w:val="7"/>
        <w:widowControl w:val="0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0"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zh-CN" w:eastAsia="zh-CN"/>
        </w:rPr>
        <w:t>项目概况</w:t>
      </w:r>
    </w:p>
    <w:tbl>
      <w:tblPr>
        <w:tblStyle w:val="5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88"/>
        <w:gridCol w:w="2779"/>
        <w:gridCol w:w="2331"/>
        <w:gridCol w:w="1590"/>
        <w:gridCol w:w="801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序号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梯号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注册代码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规格型号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（层/站/门）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（提升高度/角度）</w:t>
            </w:r>
          </w:p>
        </w:tc>
        <w:tc>
          <w:tcPr>
            <w:tcW w:w="801" w:type="dxa"/>
            <w:noWrap w:val="0"/>
            <w:vAlign w:val="top"/>
          </w:tcPr>
          <w:p>
            <w:pPr>
              <w:spacing w:before="240" w:line="180" w:lineRule="auto"/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投入使用时 间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before="240" w:line="180" w:lineRule="auto"/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数量  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133" w:type="dxa"/>
            <w:gridSpan w:val="7"/>
            <w:noWrap w:val="0"/>
            <w:vAlign w:val="center"/>
          </w:tcPr>
          <w:p>
            <w:pPr>
              <w:spacing w:before="240" w:line="18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本部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L1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31003408002012050009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OTIS SKY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6/6/6</w:t>
            </w:r>
          </w:p>
        </w:tc>
        <w:tc>
          <w:tcPr>
            <w:tcW w:w="80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L2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31003408002012100016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OTIS SKY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6/6/6</w:t>
            </w:r>
          </w:p>
        </w:tc>
        <w:tc>
          <w:tcPr>
            <w:tcW w:w="80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L3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31003408002013030018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TBJI600/1.0-JXW-VVVF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4/4/4</w:t>
            </w:r>
          </w:p>
        </w:tc>
        <w:tc>
          <w:tcPr>
            <w:tcW w:w="80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L4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30103408012005120001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TBJ1600/1.0-JXCPU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6/6/6</w:t>
            </w:r>
          </w:p>
        </w:tc>
        <w:tc>
          <w:tcPr>
            <w:tcW w:w="80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L5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30103408012005120002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TBJ1600/1.0-JXCPU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6/6/6</w:t>
            </w:r>
          </w:p>
        </w:tc>
        <w:tc>
          <w:tcPr>
            <w:tcW w:w="80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L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31103408032018040026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AEP320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5/2/2</w:t>
            </w:r>
          </w:p>
        </w:tc>
        <w:tc>
          <w:tcPr>
            <w:tcW w:w="80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眼科医院3台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1号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311010012202159419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AEP320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9/9/9</w:t>
            </w:r>
          </w:p>
        </w:tc>
        <w:tc>
          <w:tcPr>
            <w:tcW w:w="80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2号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311010012202159420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AEP320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9/9/9</w:t>
            </w:r>
          </w:p>
        </w:tc>
        <w:tc>
          <w:tcPr>
            <w:tcW w:w="80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3号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311010012202159418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AEP300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8/8/8</w:t>
            </w:r>
          </w:p>
        </w:tc>
        <w:tc>
          <w:tcPr>
            <w:tcW w:w="80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</w:tbl>
    <w:p>
      <w:pPr>
        <w:pStyle w:val="7"/>
        <w:widowControl w:val="0"/>
        <w:numPr>
          <w:ilvl w:val="0"/>
          <w:numId w:val="0"/>
        </w:numPr>
        <w:autoSpaceDE w:val="0"/>
        <w:autoSpaceDN w:val="0"/>
        <w:adjustRightInd w:val="0"/>
        <w:spacing w:line="500" w:lineRule="exact"/>
        <w:ind w:leftChars="200"/>
        <w:jc w:val="both"/>
        <w:rPr>
          <w:rFonts w:hint="eastAsia" w:ascii="仿宋" w:hAnsi="仿宋" w:eastAsia="仿宋" w:cs="仿宋"/>
          <w:color w:val="auto"/>
          <w:sz w:val="28"/>
          <w:szCs w:val="28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0" w:name="_Toc285612596"/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注：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1-8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号共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台电梯维保时间从20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月开始，眼科医院3号电梯在2024年8月进入维保周期，第一年合同应扣除部分金额，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双方在合同内约定。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维保要求和安全责任</w:t>
      </w:r>
      <w:r>
        <w:rPr>
          <w:rFonts w:hint="eastAsia" w:ascii="仿宋" w:hAnsi="仿宋" w:eastAsia="仿宋" w:cs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1.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符合《中华人民共和国特种设备安全法》、《特种设备安全监督条例》、《电梯使用管理与维护保养规则》(TSG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T5001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2009)等法律法规的要求。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对电梯进行每月不少于两次检查和维保，保持电梯有良好的运行状态。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在维修与保养之前对电梯进行仔细检查，若有磨损件损坏零部件，有必要更换的须出具书面更换清单(详细规格、名称等)。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4.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派专人管理合同范围内需维保的电梯，并制定和施行必要的规章制度。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除每月两次常规的维修保养外，还应提供应急维修服务，在接到维修通知后，一般情况下保证能在20分钟内赶到现场服务。</w:t>
      </w:r>
    </w:p>
    <w:p>
      <w:pPr>
        <w:pStyle w:val="7"/>
        <w:widowControl w:val="0"/>
        <w:autoSpaceDE w:val="0"/>
        <w:autoSpaceDN w:val="0"/>
        <w:adjustRightInd w:val="0"/>
        <w:spacing w:line="500" w:lineRule="exact"/>
        <w:ind w:left="0"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具有完成本项目所必需的人员、设备及专业技术能力，能提供及时、有效的(本地化)服务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7.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电梯维保采取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清包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方式，维修人员费用由维保单位支付，在维修维保过程中发现易损件磨损严重运行不稳定等，需更换损坏零件和采购的配件材料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费用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由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业主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单位负责。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8.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保证维保期间内，电梯年检合格通过，年检费用由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医院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支付。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9.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维保期间做好必要的防护措施和提醒标志，以免发生意外。在维保期间维保技术人员和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方人员与财产等全部责任由维保单位负责。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10.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符合质量技术监督管理局、安全生产监管局等质量、生产行业主管部门的规范性要求，并自觉接受监督。认同并严格履行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招标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文件的各项规定，承诺遵守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院方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的各项规章制度。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11.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依法承担因维护不当或失误所造成的一切经济损失和责任。</w:t>
      </w:r>
    </w:p>
    <w:p>
      <w:pPr>
        <w:pStyle w:val="7"/>
        <w:widowControl w:val="0"/>
        <w:autoSpaceDE w:val="0"/>
        <w:autoSpaceDN w:val="0"/>
        <w:adjustRightInd w:val="0"/>
        <w:spacing w:line="500" w:lineRule="exact"/>
        <w:ind w:left="0"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三、商务要求</w:t>
      </w:r>
    </w:p>
    <w:bookmarkEnd w:id="0"/>
    <w:p>
      <w:pPr>
        <w:tabs>
          <w:tab w:val="left" w:pos="0"/>
        </w:tabs>
        <w:spacing w:line="4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en-US" w:bidi="ar-SA"/>
        </w:rPr>
        <w:t>1.</w:t>
      </w:r>
      <w:r>
        <w:rPr>
          <w:rFonts w:hint="eastAsia" w:ascii="仿宋" w:hAnsi="仿宋" w:eastAsia="仿宋" w:cs="仿宋"/>
          <w:color w:val="auto"/>
          <w:sz w:val="28"/>
          <w:szCs w:val="28"/>
          <w:lang w:val="zh-CN" w:eastAsia="en-US" w:bidi="ar-SA"/>
        </w:rPr>
        <w:t>服务时间：</w:t>
      </w:r>
      <w:r>
        <w:rPr>
          <w:rFonts w:hint="eastAsia" w:ascii="仿宋" w:hAnsi="仿宋" w:eastAsia="仿宋" w:cs="仿宋"/>
          <w:color w:val="auto"/>
          <w:sz w:val="28"/>
          <w:szCs w:val="28"/>
          <w:lang w:val="zh-CN" w:eastAsia="zh-CN" w:bidi="ar-SA"/>
        </w:rPr>
        <w:t>合同服务期采用1+1+1的模式，即合同期一年，一年服务期满，经考核合格，可以续签一年，最多可以续签两次，即总服务期不超过三年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 w:bidi="ar-SA"/>
        </w:rPr>
        <w:t>。</w:t>
      </w:r>
    </w:p>
    <w:p>
      <w:pPr>
        <w:pStyle w:val="4"/>
        <w:rPr>
          <w:rFonts w:hint="eastAsia" w:ascii="仿宋" w:hAnsi="仿宋" w:eastAsia="仿宋" w:cs="仿宋"/>
          <w:color w:val="auto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zh-CN" w:eastAsia="zh-CN" w:bidi="ar-SA"/>
        </w:rPr>
        <w:t>注：招标人将在合同中明确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en-US" w:bidi="ar-SA"/>
        </w:rPr>
        <w:t>眼科医院3号电梯在2024年8月进入维保周期</w:t>
      </w:r>
      <w:r>
        <w:rPr>
          <w:rFonts w:hint="eastAsia" w:ascii="仿宋" w:hAnsi="仿宋" w:eastAsia="仿宋" w:cs="仿宋"/>
          <w:color w:val="auto"/>
          <w:sz w:val="28"/>
          <w:szCs w:val="28"/>
          <w:lang w:val="zh-CN" w:eastAsia="zh-CN" w:bidi="ar-SA"/>
        </w:rPr>
        <w:t>，即第一年中标人的合同价需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 w:bidi="ar-SA"/>
        </w:rPr>
        <w:t>扣除部分金额，双方合同内约定。</w:t>
      </w:r>
    </w:p>
    <w:p>
      <w:pPr>
        <w:tabs>
          <w:tab w:val="left" w:pos="0"/>
        </w:tabs>
        <w:spacing w:line="48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zh-CN" w:eastAsia="zh-CN" w:bidi="ar-SA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zh-CN" w:eastAsia="zh-CN" w:bidi="ar-SA"/>
        </w:rPr>
        <w:t>2.付款方式：具体合同内约定。</w:t>
      </w:r>
    </w:p>
    <w:p>
      <w:pPr>
        <w:autoSpaceDE w:val="0"/>
        <w:autoSpaceDN w:val="0"/>
        <w:adjustRightInd w:val="0"/>
        <w:spacing w:after="240" w:afterLines="100"/>
        <w:jc w:val="center"/>
        <w:outlineLvl w:val="0"/>
        <w:rPr>
          <w:rFonts w:hint="eastAsia" w:ascii="仿宋" w:hAnsi="仿宋" w:eastAsia="仿宋" w:cs="仿宋"/>
          <w:color w:val="auto"/>
          <w:sz w:val="28"/>
          <w:szCs w:val="28"/>
          <w:lang w:val="en-US" w:eastAsia="en-US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97F39"/>
    <w:multiLevelType w:val="singleLevel"/>
    <w:tmpl w:val="10797F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GUzZDdjZWMzOWEzMGQwNzc2YmMxNWIzOWRiOTkifQ=="/>
  </w:docVars>
  <w:rsids>
    <w:rsidRoot w:val="00000000"/>
    <w:rsid w:val="2E01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iPriority w:val="0"/>
    <w:pPr>
      <w:ind w:firstLine="555"/>
    </w:pPr>
  </w:style>
  <w:style w:type="paragraph" w:styleId="3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4">
    <w:name w:val="Body Text First Indent 2"/>
    <w:basedOn w:val="2"/>
    <w:next w:val="1"/>
    <w:qFormat/>
    <w:uiPriority w:val="0"/>
    <w:pPr>
      <w:ind w:left="420" w:firstLine="420" w:firstLineChars="200"/>
    </w:pPr>
  </w:style>
  <w:style w:type="paragraph" w:customStyle="1" w:styleId="7">
    <w:name w:val="List Paragraph"/>
    <w:basedOn w:val="1"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2024-01-30T05:51:03Z</dcterms:created>
  <dc:creator>Administrator</dc:creator>
  <cp:lastModifiedBy>W西瓜味的美少女</cp:lastModifiedBy>
  <dcterms:modified xsi:type="dcterms:W3CDTF">2024-01-30T05:51:14Z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B954F2D4FC9D44B0A9AEDA8DE7F51837_12</vt:lpwstr>
  </property>
</Properties>
</file>