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货物需求及技术要求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3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为鼓励不同品牌的充分竞争，如某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器械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>
      <w:pPr>
        <w:pageBreakBefore w:val="0"/>
        <w:widowControl/>
        <w:numPr>
          <w:ilvl w:val="0"/>
          <w:numId w:val="1"/>
        </w:numPr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宋体" w:hAnsi="宋体" w:cs="Times New Roman"/>
          <w:b/>
          <w:bCs/>
          <w:sz w:val="28"/>
          <w:szCs w:val="28"/>
          <w:highlight w:val="none"/>
          <w:lang w:eastAsia="zh-CN"/>
        </w:rPr>
      </w:pPr>
      <w:bookmarkStart w:id="0" w:name="_Toc4579"/>
      <w:r>
        <w:rPr>
          <w:rFonts w:hint="eastAsia" w:ascii="宋体" w:hAnsi="宋体" w:cs="Times New Roman"/>
          <w:b/>
          <w:bCs/>
          <w:sz w:val="28"/>
          <w:szCs w:val="28"/>
          <w:highlight w:val="none"/>
        </w:rPr>
        <w:t>货物需求一览表</w:t>
      </w:r>
      <w:r>
        <w:rPr>
          <w:rFonts w:hint="eastAsia" w:ascii="宋体" w:hAnsi="宋体" w:cs="Times New Roman"/>
          <w:b/>
          <w:bCs/>
          <w:sz w:val="28"/>
          <w:szCs w:val="28"/>
          <w:highlight w:val="none"/>
          <w:lang w:eastAsia="zh-CN"/>
        </w:rPr>
        <w:t>：</w:t>
      </w:r>
    </w:p>
    <w:tbl>
      <w:tblPr>
        <w:tblStyle w:val="3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06"/>
        <w:gridCol w:w="4875"/>
        <w:gridCol w:w="553"/>
        <w:gridCol w:w="1238"/>
        <w:gridCol w:w="1162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567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货物名称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320" w:firstLineChars="550"/>
              <w:jc w:val="both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技术参数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7148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贴敷式胰岛素泵系统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胰岛素泵系统参数：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★1.模式：贴敷式无管路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2.报警提示方式：亮灯，震动，声音，屏幕提示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3.历史存储：有，内置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4.显示屏：≥3.2寸彩色触屏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5.电池容量：70mAh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6.低药量报警阈值：10-50U，增量步长5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7.自动关机：打开、关闭两种设置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8.自动关机等待时间：1-24小时，增量步长1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★9.基础率速度：0.025U/小时-35U/小时，基础率增量步长：0.025U/小时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10.基础率预置：≥三种预置，每种预置最多可设置48个输注速度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11.最大基础率：0.1-35U/小时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12.初始基础率：0.025-35U/小时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13.临时基础率：U/小时、%和关闭三种设置方式，可记忆三组最近输入的值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★14.大剂量输注：0.025U-25U，三个预设值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15.大剂量增量步长：0.025/0.05/0.1/0.5/1U可选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16.最大大剂量：1-25U，大剂量增量步长：1U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17.延长双波大剂量：U、%和关闭三种设置方式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18.延长量时间：0.5-8小时，增量步长：0.5小时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19.快速大剂量：打开、关闭两种设置，0.1-2U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9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说明：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投标人的投标文件必须标明所供货物的品牌与参数，保证原厂正品供货，提供相关资料等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，如为进口产品需在备注栏标明进口。</w:t>
            </w:r>
          </w:p>
        </w:tc>
      </w:tr>
      <w:bookmarkEnd w:id="0"/>
    </w:tbl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人员培训要求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货物安装、调试、验收合格后，中标人应对招标人的相关人员进行免费现场培训。</w:t>
      </w:r>
      <w:bookmarkStart w:id="3" w:name="_GoBack"/>
      <w:bookmarkEnd w:id="3"/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bookmarkStart w:id="1" w:name="_Toc21193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货物质量及售后服务要求</w:t>
      </w:r>
      <w:bookmarkEnd w:id="1"/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bookmarkStart w:id="2" w:name="_Toc23093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1、货物质量：中标人提供的货物必须是全新、原装、合格正品，完全符合国家规定的质量标准和厂方的标准。货物完好，配件齐全。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3、质保期：二年。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验收</w:t>
      </w:r>
      <w:bookmarkEnd w:id="2"/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中标人和招标人双方共同实施验收工作，结果和验收报告经双方确认后生效。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五、付款方式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验收合格后付至合同价款的95%，剩余价款待质保期满后一次性付清。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CCCEE"/>
    <w:multiLevelType w:val="singleLevel"/>
    <w:tmpl w:val="D1DCCC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NDJmMTU5NDhkMTk3OTk3NzUxMmMxZWIzMjgxMTcifQ=="/>
  </w:docVars>
  <w:rsids>
    <w:rsidRoot w:val="00000000"/>
    <w:rsid w:val="616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2024-01-05T08:39:28Z</dcterms:created>
  <dc:creator>NN</dc:creator>
  <cp:lastModifiedBy>啊鲸</cp:lastModifiedBy>
  <dcterms:modified xsi:type="dcterms:W3CDTF">2024-01-05T08:39:38Z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3871C7C5B0544486BEA57AD21DA2D917_12</vt:lpwstr>
  </property>
</Properties>
</file>