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3" w:name="_GoBack"/>
      <w:r>
        <w:rPr>
          <w:rFonts w:hint="eastAsia" w:ascii="仿宋" w:hAnsi="仿宋" w:eastAsia="仿宋" w:cs="仿宋"/>
          <w:sz w:val="36"/>
          <w:szCs w:val="36"/>
        </w:rPr>
        <w:t>货物需求及技术要求</w:t>
      </w:r>
    </w:p>
    <w:bookmarkEnd w:id="3"/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3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货物需求</w:t>
      </w:r>
      <w:bookmarkStart w:id="0" w:name="_Toc4579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采集盒：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1.1外形精巧，体积小，重量≤50g，方便受检者佩戴;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1.2  防水等级：采集盒支持IPX7防水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1.3  1.46寸全彩LCD液晶屏幕可显示波形、电池电量、记录时间、记录状态、病人信息、事件标记、起搏状态等信息， 配备3键键盘，具有事件标记按钮，记录事件发生的时间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1.4 灵活的数据传输方式，同时支持microSD卡拔插方式和USB2.0高速直接数据读取方式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信号处理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2.1频率响应：0.05～60Hz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2.2输入阻抗：≥20MΩ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2.3输入回路电流：≤0.1uA  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2.4噪声电平：≤50μVp-p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2.5极化电压：±300mV         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2.6共模抑制比（CMRR）：≥100dB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2.7时间常数：≥3.2s  ，记录通道：12通道         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2.8采样率：25600 Hz  ，A/D转换精度：24位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2.9起搏检测：多通道同时检测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3.1软件同时兼容3/12导联记录盒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3.2具备散点图和叠加图联合分析界面；直方图和叠加图联合分析界面 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3.3 心电波形自学习功能，实现模板高效匹配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3.4 支持Lorenz散点图、叠加图、时间散点图、小时散点图、片段图、导联片段图等分析工具在同一页面显示，快速有效的协助用户进行心拍分析；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3.5具有反混淆分析功能，模扳聚类后可将模扳的内的心电波形叠加,并能根据形态差异分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辨出所需要的心搏并加以修改，可浏览、分析、修改波形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3.6直方图分析：可以提供R-R间期、R-V间期、R-R提前量、R-V提前量、R-S提前量、RR间期比、起搏到起搏等30多种常用分布直方图分析工具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3.7具有QT分析功能：可提供QT趋表、QT直方图、QT离散度等多种分析工具，可快速的查找各个时间点心电图和ST段变化，可修改/添加ST事件，ST测量不准确时，可以进行ST段重分析。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3.8 准确的QRS形态分类，可自动识别正常、房早、室早、插入性室早、起搏、伪差等心拍类型，并支持不少于20种模板分类选项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3.9可以对AOO、VOO、AAI、VVI、DDD等十六种起搏器进行分析，具备起搏脉冲检测功能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3.10心率变异分析：从R-R间期散点图、时域趋势图、频域趋势图、时域趋势表、频域趋势表、长时程心率变异、心率变异三维图七方面进行分析，分析全面到位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3.11具有专门的房扑、房颤分析功能及心率震荡分析功能，可以预测心梗患者的死亡危险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3.12可提供心率震荡、起搏、呼吸睡眠、T波电交替、心电向量、心室晚电位，瀑布图等多种自动分析功能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配置要求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工作站及软件一套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动态心电采集盒四个</w:t>
      </w:r>
    </w:p>
    <w:bookmarkEnd w:id="0"/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人员培训要求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货物安装、调试、验收合格后，中标人应对招标人的相关人员进行免费现场培训。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1" w:name="_Toc21193"/>
      <w:r>
        <w:rPr>
          <w:rFonts w:hint="eastAsia" w:ascii="仿宋" w:hAnsi="仿宋" w:eastAsia="仿宋" w:cs="仿宋"/>
          <w:b/>
          <w:bCs/>
          <w:sz w:val="28"/>
          <w:szCs w:val="28"/>
        </w:rPr>
        <w:t>货物质量及售后服务要求</w:t>
      </w:r>
      <w:bookmarkEnd w:id="1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1、货物质量：中标人提供的货物必须是全新、原装、合格正品，完全符合国家规定的质量标准和厂方的标准。货物完好，配件齐全。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3、质保期：二年。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3093"/>
      <w:r>
        <w:rPr>
          <w:rFonts w:hint="eastAsia" w:ascii="仿宋" w:hAnsi="仿宋" w:eastAsia="仿宋" w:cs="仿宋"/>
          <w:b/>
          <w:bCs/>
          <w:sz w:val="28"/>
          <w:szCs w:val="28"/>
        </w:rPr>
        <w:t>验收</w:t>
      </w:r>
      <w:bookmarkEnd w:id="2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中标人和招标人双方共同实施验收工作，结果和验收报告经双方确认后生效。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付款方式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验收合格后付至合同价款的95%，剩余价款待质保期满后一次性付清。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149CD"/>
    <w:multiLevelType w:val="singleLevel"/>
    <w:tmpl w:val="CDD149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4D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2023-11-27T08:03:14Z</dcterms:created>
  <dc:creator>Administrator</dc:creator>
  <cp:lastModifiedBy>周敏</cp:lastModifiedBy>
  <dcterms:modified xsi:type="dcterms:W3CDTF">2023-11-27T08:03:21Z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9A846EEDB5F6473EB764355CE95B636E_12</vt:lpwstr>
  </property>
</Properties>
</file>