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highlight w:val="none"/>
        </w:rPr>
      </w:pPr>
      <w:r>
        <w:rPr>
          <w:rFonts w:hint="eastAsia"/>
          <w:highlight w:val="none"/>
        </w:rPr>
        <w:t>货物需求及技术要求</w:t>
      </w:r>
    </w:p>
    <w:p>
      <w:pPr>
        <w:widowControl/>
        <w:numPr>
          <w:ilvl w:val="0"/>
          <w:numId w:val="0"/>
        </w:numPr>
        <w:spacing w:line="500" w:lineRule="exact"/>
        <w:ind w:firstLine="422" w:firstLineChars="200"/>
        <w:jc w:val="left"/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widowControl/>
        <w:numPr>
          <w:ilvl w:val="0"/>
          <w:numId w:val="1"/>
        </w:numPr>
        <w:spacing w:line="500" w:lineRule="exact"/>
        <w:ind w:left="0" w:leftChars="0" w:firstLine="0" w:firstLineChars="0"/>
        <w:jc w:val="left"/>
        <w:rPr>
          <w:rFonts w:hint="eastAsia" w:ascii="宋体" w:hAnsi="宋体" w:cs="Times New Roman"/>
          <w:b/>
          <w:bCs/>
          <w:sz w:val="24"/>
          <w:szCs w:val="24"/>
          <w:highlight w:val="none"/>
        </w:rPr>
      </w:pPr>
      <w:bookmarkStart w:id="0" w:name="_Toc24273"/>
      <w:bookmarkStart w:id="1" w:name="_Toc28001"/>
      <w:bookmarkStart w:id="2" w:name="_Toc4579"/>
      <w:r>
        <w:rPr>
          <w:rFonts w:hint="eastAsia" w:ascii="宋体" w:hAnsi="宋体" w:cs="Times New Roman"/>
          <w:b/>
          <w:bCs/>
          <w:sz w:val="24"/>
          <w:szCs w:val="24"/>
          <w:highlight w:val="none"/>
          <w:lang w:val="en-US" w:eastAsia="zh-CN"/>
        </w:rPr>
        <w:t>货物技术参数要</w:t>
      </w:r>
      <w:r>
        <w:rPr>
          <w:rFonts w:hint="eastAsia" w:ascii="宋体" w:hAnsi="宋体" w:cs="Times New Roman"/>
          <w:b/>
          <w:bCs/>
          <w:sz w:val="24"/>
          <w:szCs w:val="24"/>
          <w:highlight w:val="none"/>
        </w:rPr>
        <w:t>求一览表</w:t>
      </w:r>
      <w:bookmarkEnd w:id="0"/>
      <w:bookmarkEnd w:id="1"/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电脑视力检查器：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1、与电脑验光仪连接 可自动进行数据传输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2、★检查范围      球镜：0～-27.00D（0.12/0.25/0.5/1/3D步长）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40" w:firstLineChars="1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0～+27.00D（0.12/0.25/0.5/1/3D步长）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20" w:firstLineChars="1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柱镜：0～±8.00D（0.25/0.5/1/3D步长）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520" w:firstLineChars="1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柱镜轴向：0～180º（1º/5º/15º步长）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520" w:firstLineChars="1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棱镜：0～+20Δ（0.1/0.5/2.0Δ步长）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3、角膜照明         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4、额托指示灯       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5、镜片             内置涂膜处理的专业镜片组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6、近视力检查       双眼光轴自动会交在眼前方40CM/67CM处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7、双眼平衡测试     棱镜分离法，红绿片分和偏光片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8、交叉柱镜         ±0.25D或±0.50D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9、瞳距             48～80mm（1/0.5mm步长）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10、检眼镜补偿片    2.00D或+1.50D内置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11、视野范围        35º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12、棱镜基底方向    向上 向下 向内 向外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13、外接功能        能和视力投影仪、电脑验光仪、查片仪联网进行数据交流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14、显示            3D图像演示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15、自动验光程序    能编辑7种自动验光程序，全中文菜单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16、★屏幕          </w:t>
      </w:r>
      <w:r>
        <w:rPr>
          <w:rFonts w:hint="eastAsia" w:ascii="宋体" w:hAnsi="宋体" w:eastAsia="宋体" w:cs="宋体"/>
          <w:bCs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t>10.4英寸LCD彩色触摸屏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17、镜眼距调节      12～20mm 每2mm步长（13.75mm）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18、★示教功能      具有完整的验光流程视频示教功能，用于技师培训学习。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视力表投影仪：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投影仪功能：带遥控器，可作远距离切换图表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投影仪参数：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投影距离：2.9m—6.1m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★投影仪灯泡：≥12V 50W（碘钨灯）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投影放大率：≥30倍（5M范围内）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投影视标尺寸：≥330X270（mm），Φ 300mm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视力表图表数量：≥30幅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6.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★视标转换：≤0.03秒变换一幅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7.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马氏杆数量：≥水平5行，垂直≥8行，≥21个单个独立视标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（红绿滤光片）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8.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马氏杆转换：≤0.02秒变换一幅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9.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程序设计：按照验光师习惯进行视标程序设定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9.1关机功能：不使用该机10分钟后自动关机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9.2其他：可连接电脑视力检查器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(三）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升降检眼台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顶灯               9W LED照明灯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悬臂               通过控制按钮，电磁悬臂可在任何位置自动锁定。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3. 可移动桌面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升降范围200MM，桌面上配有小托板，用于放置电脑验光仪。桌面下部有保护装置，以防止压到顾客的腿部。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4.主机                为设备提供稳固的支持，并具有升降功能。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接触式控制面板     功能全面的控制面板可以用来控制顶灯、升降椅、投影仪、控制摆臂及桌面的升降。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 电动悬臂           可悬挂视力检查器，并可并可使用电磁处动锁定在合适的高度进行检。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 升降椅             豪华舒适的升降椅，升降平稳，可旋转90度，方便被检者进出。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 工作台：           座椅升降范围：520－670（mm）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730" w:firstLineChars="1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主机升降范围：680－880（mm）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730" w:firstLineChars="1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抽屉尺寸：575×400×58（mm）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ind w:left="0" w:leftChars="0" w:firstLine="2730" w:firstLineChars="1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大桌面尺寸：1130×520（mm）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一</w:t>
      </w:r>
      <w:r>
        <w:rPr>
          <w:rFonts w:hint="eastAsia"/>
          <w:b/>
          <w:sz w:val="24"/>
          <w:highlight w:val="none"/>
        </w:rPr>
        <w:t>）人员培训要求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</w:t>
      </w:r>
      <w:r>
        <w:rPr>
          <w:rFonts w:hint="eastAsia" w:ascii="宋体" w:hAnsi="宋体"/>
          <w:sz w:val="22"/>
          <w:szCs w:val="22"/>
          <w:highlight w:val="none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3" w:name="_Toc211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二</w:t>
      </w:r>
      <w:r>
        <w:rPr>
          <w:rFonts w:hint="eastAsia"/>
          <w:b/>
          <w:sz w:val="24"/>
          <w:highlight w:val="none"/>
        </w:rPr>
        <w:t>）货物质量及售后服务要求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 w:val="22"/>
          <w:szCs w:val="22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ind w:left="0" w:leftChars="0" w:firstLine="440" w:firstLineChars="200"/>
        <w:textAlignment w:val="auto"/>
        <w:rPr>
          <w:rFonts w:hint="eastAsia" w:ascii="宋体" w:hAnsi="宋体"/>
          <w:sz w:val="22"/>
          <w:szCs w:val="22"/>
          <w:highlight w:val="none"/>
          <w:lang w:val="en-US" w:eastAsia="zh-CN"/>
        </w:rPr>
      </w:pPr>
      <w:bookmarkStart w:id="4" w:name="_Toc23093"/>
      <w:r>
        <w:rPr>
          <w:rFonts w:hint="eastAsia" w:ascii="宋体" w:hAnsi="宋体"/>
          <w:sz w:val="22"/>
          <w:szCs w:val="22"/>
          <w:highlight w:val="none"/>
          <w:lang w:val="en-US" w:eastAsia="zh-CN"/>
        </w:rPr>
        <w:t>3、质保期：一年。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4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 w:eastAsia="宋体"/>
          <w:b/>
          <w:sz w:val="24"/>
          <w:highlight w:val="none"/>
          <w:lang w:val="en-US" w:eastAsia="zh-CN"/>
        </w:rPr>
        <w:t>付款方式</w:t>
      </w:r>
    </w:p>
    <w:p>
      <w:pPr>
        <w:ind w:firstLine="440" w:firstLineChars="200"/>
      </w:pPr>
      <w:bookmarkStart w:id="5" w:name="_GoBack"/>
      <w:bookmarkEnd w:id="5"/>
      <w:r>
        <w:rPr>
          <w:rFonts w:hint="eastAsia" w:hAnsi="宋体"/>
          <w:sz w:val="22"/>
          <w:szCs w:val="22"/>
          <w:highlight w:val="none"/>
          <w:lang w:val="en-US" w:eastAsia="zh-CN"/>
        </w:rPr>
        <w:t>验收合格后付至合同价款的90%，剩余价款待质保期满后一次性付清。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18395"/>
    <w:multiLevelType w:val="singleLevel"/>
    <w:tmpl w:val="D6B1839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351D5E"/>
    <w:multiLevelType w:val="singleLevel"/>
    <w:tmpl w:val="6A351D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ZDIxNzNhYjU0YmQyZmUyYzBiZjljMDEwZTg3NWEifQ=="/>
  </w:docVars>
  <w:rsids>
    <w:rsidRoot w:val="5F7316DF"/>
    <w:rsid w:val="5F7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Plain Text"/>
    <w:basedOn w:val="1"/>
    <w:next w:val="1"/>
    <w:qFormat/>
    <w:uiPriority w:val="99"/>
    <w:rPr>
      <w:rFonts w:hint="eastAsia" w:ascii="宋体" w:hAnsi="Courier New" w:cs="Courier New"/>
      <w:szCs w:val="21"/>
    </w:rPr>
  </w:style>
  <w:style w:type="paragraph" w:customStyle="1" w:styleId="8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2023-09-14T00:24:00Z</dcterms:created>
  <dc:creator>郭庆</dc:creator>
  <cp:lastModifiedBy>郭庆</cp:lastModifiedBy>
  <dcterms:modified xsi:type="dcterms:W3CDTF">2023-09-14T00:26:05Z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BA6C7FAE09D244E8BF481E8D8F0A0D33_11</vt:lpwstr>
  </property>
</Properties>
</file>