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highlight w:val="none"/>
        </w:rPr>
      </w:pPr>
      <w:bookmarkStart w:id="3" w:name="_GoBack"/>
      <w:bookmarkEnd w:id="3"/>
      <w:r>
        <w:rPr>
          <w:rFonts w:hint="eastAsia"/>
          <w:highlight w:val="none"/>
        </w:rPr>
        <w:t>货物需求及技术要求</w:t>
      </w:r>
    </w:p>
    <w:p>
      <w:pPr>
        <w:widowControl/>
        <w:spacing w:line="500" w:lineRule="exact"/>
        <w:ind w:firstLine="430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rPr>
          <w:rFonts w:hint="eastAsia"/>
          <w:b/>
          <w:sz w:val="24"/>
        </w:rPr>
      </w:pPr>
      <w:bookmarkStart w:id="0" w:name="_Toc457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lang w:val="en-US" w:eastAsia="zh-CN"/>
        </w:rPr>
        <w:t>一、牙科综合治疗机招标技术参数</w:t>
      </w:r>
    </w:p>
    <w:p>
      <w:pPr>
        <w:pStyle w:val="12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基本参数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输入功率：350VA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按防电击类型分类：I类  B型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电源：交流220V，控制系统：24V安全低电压控制，规避高电压操作风险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输入气压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0.55---0.6MPa，流量≥50L/min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输入水压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0.2---0.4Mpa，流量≥10L/min</w:t>
      </w:r>
    </w:p>
    <w:p>
      <w:pPr>
        <w:pStyle w:val="12"/>
        <w:spacing w:line="360" w:lineRule="auto"/>
        <w:ind w:left="72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★</w:t>
      </w:r>
      <w:r>
        <w:rPr>
          <w:rFonts w:hint="eastAsia" w:ascii="宋体" w:hAnsi="宋体" w:eastAsia="宋体" w:cs="宋体"/>
          <w:color w:val="000000"/>
          <w:szCs w:val="21"/>
          <w:lang w:bidi="en-US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控制系统采用双主控控制，医生位、助手位功能按键完全相同，主医生位、助手位操作面板非镶嵌在器械盘内，便于护士操作，让医师专注于治疗。</w:t>
      </w:r>
    </w:p>
    <w:p>
      <w:pPr>
        <w:pStyle w:val="12"/>
        <w:spacing w:line="360" w:lineRule="auto"/>
        <w:ind w:left="72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7、平面硬质触摸控制面板，非覆膜式，操作便捷，不会穿孔破损</w:t>
      </w:r>
    </w:p>
    <w:p>
      <w:pPr>
        <w:pStyle w:val="12"/>
        <w:spacing w:line="360" w:lineRule="auto"/>
        <w:ind w:left="720" w:firstLine="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8、漱口、冲盂水水量、漱口水水温、可调节并显示在液晶显示器上。</w:t>
      </w:r>
    </w:p>
    <w:p>
      <w:pPr>
        <w:pStyle w:val="12"/>
        <w:spacing w:line="360" w:lineRule="auto"/>
        <w:ind w:left="72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en-US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9、吐痰位一键操控，靠背自动运行至吐痰位，口腔灯自动熄灭，冲盂水自动开启；靠背恢复治疗位，口腔灯自动开启，冲盂水自动关闭</w:t>
      </w:r>
    </w:p>
    <w:p>
      <w:pPr>
        <w:pStyle w:val="12"/>
        <w:spacing w:line="360" w:lineRule="auto"/>
        <w:ind w:left="72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10、灯立柱落地结构，整机稳定性更高，牙椅与口腔灯、器械盘系统相互不干扰，适合开展种植等手术</w:t>
      </w:r>
    </w:p>
    <w:p>
      <w:pPr>
        <w:pStyle w:val="12"/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牙科椅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机械运行机构：靠背高支点转点：有效改善靠背运行致病员推搓背的不适感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驱动系统：24V静音直流电机，知名品牌，运行平稳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座椅最低位</w:t>
      </w:r>
      <w:r>
        <w:rPr>
          <w:rFonts w:hint="eastAsia" w:ascii="宋体" w:hAnsi="宋体" w:eastAsia="宋体" w:cs="宋体"/>
          <w:sz w:val="28"/>
          <w:szCs w:val="28"/>
        </w:rPr>
        <w:t>≤</w:t>
      </w:r>
      <w:r>
        <w:rPr>
          <w:rFonts w:hint="eastAsia" w:ascii="宋体" w:hAnsi="宋体" w:eastAsia="宋体" w:cs="宋体"/>
          <w:sz w:val="24"/>
          <w:szCs w:val="24"/>
        </w:rPr>
        <w:t>370mm，方便老人、儿童上下椅位；便于医师对于上颌牙的治疗操作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座椅最高位</w:t>
      </w:r>
      <w:r>
        <w:rPr>
          <w:rFonts w:hint="eastAsia" w:ascii="宋体" w:hAnsi="宋体" w:eastAsia="宋体" w:cs="宋体"/>
          <w:sz w:val="28"/>
          <w:szCs w:val="28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800mm，处于抢救位，方便医师急救操作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最大负载：</w:t>
      </w:r>
      <w:r>
        <w:rPr>
          <w:rFonts w:hint="eastAsia" w:ascii="宋体" w:hAnsi="宋体" w:eastAsia="宋体" w:cs="宋体"/>
          <w:sz w:val="28"/>
          <w:szCs w:val="28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150Kg</w:t>
      </w:r>
    </w:p>
    <w:p>
      <w:pPr>
        <w:pStyle w:val="12"/>
        <w:spacing w:line="360" w:lineRule="auto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治疗机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高分子材料机箱：不变形、不变色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强吸负压：≥ 27kPa；弱吸负压：≥ 10kPa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24V恒温加热系统：40℃±5℃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痰盂：可旋转透明玻璃痰盂，内高外低，防溢溅，可拆卸、方便清洗。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冲盂、漱口水嘴：全不锈钢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可旋转助手架：强弱吸管极短管路设计，强弱吸管、三用枪管在牙椅处于最低位时也不会拖地；管路重量轻，提高吸唾时病员舒适感；助手架挂载一体式强弱吸过滤杯，远离痰盂，更加卫生，清洗方便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手机供水系统：蒸馏水、自来水可切换双路供水</w:t>
      </w:r>
    </w:p>
    <w:p>
      <w:pPr>
        <w:pStyle w:val="12"/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口腔灯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LED-AZS冷光无影口腔灯：红外感应、液晶屏触摸双控调节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照度调节范围≤8000lux；≥60000lux；色温：4000K-5500K七档，液晶数显触摸调节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具备光固化模式，降低LED光对树脂材料影响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无蓝光、频闪，具备护眼功能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自动存储医师使用的照度和色温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光斑80X120mm,成型方正，布光均匀，无影效果佳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双器械盘配置要求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主器械盘整体注塑，配备成型贴合硅胶衬垫，可拆卸、易清洁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副器械盘：配置304不锈钢手术托盘，可拆卸、可消毒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双器械盘设计便于放置各种手术器械及设备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脚踏开关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组合式脚踏开关，可控冲盂、漱口水，操作便捷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踩压灵敏，操作简单、可靠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医师椅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靠背可旋转角度，范围：≥300°，满足不同体位的治疗需求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椅位升降可调节，范围140mm-160mm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铝合金五星脚架，坚固耐用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基本配置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高端</w:t>
      </w:r>
      <w:r>
        <w:rPr>
          <w:rFonts w:hint="eastAsia" w:ascii="宋体" w:hAnsi="宋体" w:eastAsia="宋体" w:cs="宋体"/>
          <w:sz w:val="24"/>
          <w:szCs w:val="24"/>
        </w:rPr>
        <w:t xml:space="preserve">高速标准手机 </w:t>
      </w:r>
      <w:r>
        <w:rPr>
          <w:rFonts w:ascii="宋体" w:hAnsi="宋体" w:eastAsia="宋体" w:cs="宋体"/>
          <w:sz w:val="24"/>
          <w:szCs w:val="24"/>
        </w:rPr>
        <w:t xml:space="preserve">  2</w:t>
      </w:r>
      <w:r>
        <w:rPr>
          <w:rFonts w:hint="eastAsia" w:ascii="宋体" w:hAnsi="宋体" w:eastAsia="宋体" w:cs="宋体"/>
          <w:sz w:val="24"/>
          <w:szCs w:val="24"/>
        </w:rPr>
        <w:t>支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高端</w:t>
      </w:r>
      <w:r>
        <w:rPr>
          <w:rFonts w:hint="eastAsia" w:ascii="宋体" w:hAnsi="宋体" w:eastAsia="宋体" w:cs="宋体"/>
          <w:sz w:val="24"/>
          <w:szCs w:val="24"/>
        </w:rPr>
        <w:t>低速手机（含直、弯手机各一）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、内置洁牙机1套</w:t>
      </w:r>
    </w:p>
    <w:p>
      <w:pPr>
        <w:pStyle w:val="12"/>
        <w:spacing w:line="360" w:lineRule="auto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4、内置光固化机1台</w:t>
      </w:r>
    </w:p>
    <w:p>
      <w:pPr>
        <w:pStyle w:val="12"/>
        <w:spacing w:line="360" w:lineRule="auto"/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5、一拖一空压机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台</w:t>
      </w:r>
    </w:p>
    <w:p>
      <w:pPr>
        <w:pStyle w:val="12"/>
        <w:spacing w:line="360" w:lineRule="auto"/>
        <w:ind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6、口腔专用推车2台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一</w:t>
      </w:r>
      <w:r>
        <w:rPr>
          <w:rFonts w:hint="eastAsia"/>
          <w:b/>
          <w:sz w:val="24"/>
        </w:rPr>
        <w:t>）人员培训要求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2"/>
          <w:szCs w:val="22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</w:rPr>
      </w:pPr>
      <w:bookmarkStart w:id="1" w:name="_Toc21193"/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二</w:t>
      </w:r>
      <w:r>
        <w:rPr>
          <w:rFonts w:hint="eastAsia"/>
          <w:b/>
          <w:sz w:val="24"/>
        </w:rPr>
        <w:t>）货物质量及售后服务要求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 w:val="22"/>
          <w:szCs w:val="22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</w:rPr>
        <w:t>2、保修及售后服务：依据商品的保修条款及售后服务条款，提供原厂质保，质保期按照国家规定，且不低于所供品牌向用户承诺的质保期限。招标文件另有约定的</w:t>
      </w:r>
      <w:r>
        <w:rPr>
          <w:rFonts w:hint="eastAsia" w:ascii="宋体" w:hAnsi="宋体"/>
          <w:sz w:val="22"/>
          <w:szCs w:val="22"/>
          <w:highlight w:val="none"/>
        </w:rPr>
        <w:t>从其约定。质保期从货物验收合格后算起。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ind w:left="0" w:leftChars="0" w:firstLine="440" w:firstLineChars="200"/>
        <w:textAlignment w:val="auto"/>
        <w:rPr>
          <w:rFonts w:hint="eastAsia" w:ascii="宋体" w:hAnsi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3、质保期：一年。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2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2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四</w:t>
      </w:r>
      <w:r>
        <w:rPr>
          <w:rFonts w:hint="eastAsia" w:eastAsia="宋体"/>
          <w:b/>
          <w:sz w:val="24"/>
          <w:highlight w:val="none"/>
          <w:lang w:val="en-US" w:eastAsia="zh-CN"/>
        </w:rPr>
        <w:t>）付款方式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验收合格后付至合同价款的95%，剩余价款待质保期满后一次性付清。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2207A"/>
    <w:multiLevelType w:val="multilevel"/>
    <w:tmpl w:val="0262207A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F3F1E60"/>
    <w:multiLevelType w:val="multilevel"/>
    <w:tmpl w:val="0F3F1E60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6181255"/>
    <w:multiLevelType w:val="multilevel"/>
    <w:tmpl w:val="26181255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24340E1"/>
    <w:multiLevelType w:val="multilevel"/>
    <w:tmpl w:val="424340E1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8412325"/>
    <w:multiLevelType w:val="multilevel"/>
    <w:tmpl w:val="48412325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B7A665A"/>
    <w:multiLevelType w:val="multilevel"/>
    <w:tmpl w:val="6B7A665A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749789B"/>
    <w:multiLevelType w:val="multilevel"/>
    <w:tmpl w:val="7749789B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GJiNDZkMjBjZTFlMmM3MzUxZDVlNzQ3YzdmMzcifQ=="/>
  </w:docVars>
  <w:rsids>
    <w:rsidRoot w:val="23DB79CB"/>
    <w:rsid w:val="23DB79CB"/>
    <w:rsid w:val="38A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Plain Text"/>
    <w:basedOn w:val="1"/>
    <w:next w:val="1"/>
    <w:qFormat/>
    <w:uiPriority w:val="99"/>
    <w:rPr>
      <w:rFonts w:hint="eastAsia"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样式3"/>
    <w:basedOn w:val="6"/>
    <w:next w:val="1"/>
    <w:qFormat/>
    <w:uiPriority w:val="0"/>
    <w:rPr>
      <w:rFonts w:ascii="Calibri Light" w:hAnsi="Calibri Light" w:eastAsia="宋体" w:cs="Times New Roman"/>
      <w:bCs/>
      <w:sz w:val="24"/>
      <w:szCs w:val="32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2023-06-26T02:55:00Z</dcterms:created>
  <dc:creator>乞力马扎罗</dc:creator>
  <cp:lastModifiedBy>乞力马扎罗</cp:lastModifiedBy>
  <dcterms:modified xsi:type="dcterms:W3CDTF">2023-06-26T02:55:57Z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9B7CD2BA34024ACBBA705200BD9A6443_11</vt:lpwstr>
  </property>
</Properties>
</file>